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3EC58" w14:textId="77777777" w:rsidR="003236B7" w:rsidRPr="00E660B0" w:rsidRDefault="003236B7" w:rsidP="003236B7">
      <w:pPr>
        <w:spacing w:line="240" w:lineRule="auto"/>
        <w:jc w:val="right"/>
        <w:rPr>
          <w:rFonts w:ascii="Tahoma" w:hAnsi="Tahoma" w:cs="Tahoma"/>
          <w:b/>
          <w:bCs/>
        </w:rPr>
      </w:pPr>
      <w:r w:rsidRPr="00E660B0">
        <w:rPr>
          <w:rFonts w:ascii="Tahoma" w:hAnsi="Tahoma" w:cs="Tahoma"/>
          <w:b/>
          <w:bCs/>
        </w:rPr>
        <w:t>Załącznik Nr 1 do SWZ</w:t>
      </w:r>
    </w:p>
    <w:p w14:paraId="44BEC416" w14:textId="77777777" w:rsidR="003236B7" w:rsidRPr="00E660B0" w:rsidRDefault="003236B7" w:rsidP="00A97C7B">
      <w:pPr>
        <w:pBdr>
          <w:bottom w:val="single" w:sz="4" w:space="1" w:color="auto"/>
        </w:pBdr>
        <w:spacing w:line="240" w:lineRule="auto"/>
        <w:jc w:val="center"/>
        <w:rPr>
          <w:rFonts w:ascii="Tahoma" w:hAnsi="Tahoma" w:cs="Tahoma"/>
          <w:b/>
          <w:bCs/>
        </w:rPr>
      </w:pPr>
      <w:r w:rsidRPr="00E660B0">
        <w:rPr>
          <w:rFonts w:ascii="Tahoma" w:hAnsi="Tahoma" w:cs="Tahoma"/>
          <w:b/>
          <w:bCs/>
        </w:rPr>
        <w:t>Opis przedmiotu zamówienia</w:t>
      </w:r>
    </w:p>
    <w:p w14:paraId="5A048AA0" w14:textId="42F070A4" w:rsidR="003236B7" w:rsidRPr="00E660B0" w:rsidRDefault="003236B7" w:rsidP="003236B7">
      <w:pPr>
        <w:spacing w:line="240" w:lineRule="auto"/>
        <w:jc w:val="center"/>
        <w:rPr>
          <w:rFonts w:ascii="Tahoma" w:hAnsi="Tahoma" w:cs="Tahoma"/>
          <w:bCs/>
        </w:rPr>
      </w:pPr>
      <w:r w:rsidRPr="00E660B0">
        <w:rPr>
          <w:rFonts w:ascii="Tahoma" w:hAnsi="Tahoma" w:cs="Tahoma"/>
          <w:bCs/>
        </w:rPr>
        <w:t>(Znak postępowania:</w:t>
      </w:r>
      <w:r w:rsidR="0075321E" w:rsidRPr="00E660B0">
        <w:rPr>
          <w:rFonts w:ascii="Tahoma" w:hAnsi="Tahoma" w:cs="Tahoma"/>
          <w:bCs/>
        </w:rPr>
        <w:t xml:space="preserve"> </w:t>
      </w:r>
      <w:r w:rsidRPr="00E660B0">
        <w:rPr>
          <w:rFonts w:ascii="Tahoma" w:hAnsi="Tahoma" w:cs="Tahoma"/>
          <w:bCs/>
        </w:rPr>
        <w:t>RI.271.</w:t>
      </w:r>
      <w:r w:rsidR="00D1556C">
        <w:rPr>
          <w:rFonts w:ascii="Tahoma" w:hAnsi="Tahoma" w:cs="Tahoma"/>
          <w:bCs/>
        </w:rPr>
        <w:t>4</w:t>
      </w:r>
      <w:r w:rsidR="00780FEF" w:rsidRPr="00E660B0">
        <w:rPr>
          <w:rFonts w:ascii="Tahoma" w:hAnsi="Tahoma" w:cs="Tahoma"/>
          <w:bCs/>
        </w:rPr>
        <w:t>.202</w:t>
      </w:r>
      <w:r w:rsidR="0075321E" w:rsidRPr="00E660B0">
        <w:rPr>
          <w:rFonts w:ascii="Tahoma" w:hAnsi="Tahoma" w:cs="Tahoma"/>
          <w:bCs/>
        </w:rPr>
        <w:t>6.SŻ</w:t>
      </w:r>
      <w:r w:rsidRPr="00E660B0">
        <w:rPr>
          <w:rFonts w:ascii="Tahoma" w:hAnsi="Tahoma" w:cs="Tahoma"/>
          <w:bCs/>
        </w:rPr>
        <w:t>)</w:t>
      </w:r>
    </w:p>
    <w:p w14:paraId="598DBB1F" w14:textId="77777777" w:rsidR="00780FEF" w:rsidRPr="00E660B0" w:rsidRDefault="00780FEF" w:rsidP="00780FEF">
      <w:pPr>
        <w:spacing w:after="160" w:line="259" w:lineRule="auto"/>
        <w:jc w:val="both"/>
        <w:rPr>
          <w:rFonts w:ascii="Tahoma" w:eastAsia="Calibri" w:hAnsi="Tahoma" w:cs="Tahoma"/>
          <w:b/>
          <w:bCs/>
          <w:i/>
          <w:kern w:val="2"/>
          <w14:ligatures w14:val="standardContextual"/>
        </w:rPr>
      </w:pPr>
      <w:r w:rsidRPr="00E660B0">
        <w:rPr>
          <w:rFonts w:ascii="Tahoma" w:eastAsia="Calibri" w:hAnsi="Tahoma" w:cs="Tahoma"/>
          <w:b/>
          <w:bCs/>
          <w:i/>
          <w:kern w:val="2"/>
          <w14:ligatures w14:val="standardContextual"/>
        </w:rPr>
        <w:t xml:space="preserve">WYMAGANE MINIMALNE PARAMETRY JAKOŚCIOWE: </w:t>
      </w:r>
    </w:p>
    <w:p w14:paraId="70E3CD4E" w14:textId="77777777" w:rsidR="0075321E" w:rsidRPr="00E660B0" w:rsidRDefault="0075321E" w:rsidP="0075321E">
      <w:pPr>
        <w:numPr>
          <w:ilvl w:val="0"/>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Rozbudowa istniejącej pamięci masowej NAS pracującej w trybie wysokiej dostępności (High Availability):</w:t>
      </w:r>
    </w:p>
    <w:p w14:paraId="6E4824AA"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Rozbudowa interfejsów sieciowych – wymiana karty sieciowej PCI-E 2xRJ45 10Gbe na PCI-E 2xSFP+ 10Gbe:</w:t>
      </w:r>
    </w:p>
    <w:p w14:paraId="60B38D5C" w14:textId="77777777" w:rsidR="0075321E" w:rsidRPr="00E660B0" w:rsidRDefault="0075321E" w:rsidP="0075321E">
      <w:pPr>
        <w:numPr>
          <w:ilvl w:val="2"/>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6342E926" w14:textId="77777777" w:rsidR="0075321E" w:rsidRPr="00E660B0" w:rsidRDefault="0075321E" w:rsidP="0075321E">
      <w:pPr>
        <w:numPr>
          <w:ilvl w:val="3"/>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kern w:val="2"/>
          <w14:ligatures w14:val="standardContextual"/>
        </w:rPr>
        <w:t>Interfejs komunikacyjny z pamięcią masową: PCIe 3.0 x8;</w:t>
      </w:r>
    </w:p>
    <w:p w14:paraId="18F731C5"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Zgodność z specyfikacją: IEEE 802.3ae 10Gb/s oraz IEEE 802.3ad;</w:t>
      </w:r>
    </w:p>
    <w:p w14:paraId="5E3D19AC"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Złącza sieciowe: SFP+ - 2 sztuki 10Gb/s, pełny dupleks;</w:t>
      </w:r>
    </w:p>
    <w:p w14:paraId="690EC3C8"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Obsługa Jumbo Frame z jednostką MTU minimum 4000;</w:t>
      </w:r>
    </w:p>
    <w:p w14:paraId="7679C9DC"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Obsadzenie slotów SFP+ w moduły:</w:t>
      </w:r>
    </w:p>
    <w:p w14:paraId="394206F1" w14:textId="77777777" w:rsidR="0075321E" w:rsidRPr="00E660B0" w:rsidRDefault="0075321E" w:rsidP="0075321E">
      <w:pPr>
        <w:numPr>
          <w:ilvl w:val="4"/>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moduł SFP+ LC Simplex SingleMod WDM 10Gbe;</w:t>
      </w:r>
    </w:p>
    <w:p w14:paraId="35111582" w14:textId="77777777" w:rsidR="0075321E" w:rsidRPr="00E660B0" w:rsidRDefault="0075321E" w:rsidP="0075321E">
      <w:pPr>
        <w:numPr>
          <w:ilvl w:val="4"/>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moduł SFP+ RJ45 10Gbe;</w:t>
      </w:r>
    </w:p>
    <w:p w14:paraId="6B72DA6A"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Dodatkowo należy dostarczyć:</w:t>
      </w:r>
    </w:p>
    <w:p w14:paraId="30320B92" w14:textId="77777777" w:rsidR="0075321E" w:rsidRPr="00E660B0" w:rsidRDefault="0075321E" w:rsidP="0075321E">
      <w:pPr>
        <w:numPr>
          <w:ilvl w:val="4"/>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patchcord 2m SingleMod LC Simplex / SC Simplex WDM kompatybilny z zastosowaną wkładką SFP+ 10Gbe;</w:t>
      </w:r>
    </w:p>
    <w:p w14:paraId="0AF2ABA5" w14:textId="77777777" w:rsidR="0075321E" w:rsidRPr="00E660B0" w:rsidRDefault="0075321E" w:rsidP="0075321E">
      <w:pPr>
        <w:numPr>
          <w:ilvl w:val="4"/>
          <w:numId w:val="18"/>
        </w:numPr>
        <w:spacing w:after="160" w:line="259" w:lineRule="auto"/>
        <w:contextualSpacing/>
        <w:jc w:val="both"/>
        <w:rPr>
          <w:rFonts w:ascii="Tahoma" w:eastAsia="Calibri" w:hAnsi="Tahoma" w:cs="Tahoma"/>
          <w:kern w:val="2"/>
          <w:lang w:val="en-GB"/>
          <w14:ligatures w14:val="standardContextual"/>
        </w:rPr>
      </w:pPr>
      <w:r w:rsidRPr="00E660B0">
        <w:rPr>
          <w:rFonts w:ascii="Tahoma" w:eastAsia="Calibri" w:hAnsi="Tahoma" w:cs="Tahoma"/>
          <w:kern w:val="2"/>
          <w:lang w:val="en-GB"/>
          <w14:ligatures w14:val="standardContextual"/>
        </w:rPr>
        <w:t>1 sztuka – patchcord 2m SingleMod SC Simplex / SC Simplex;</w:t>
      </w:r>
    </w:p>
    <w:p w14:paraId="1AAF96FC" w14:textId="77777777" w:rsidR="0075321E" w:rsidRPr="00E660B0" w:rsidRDefault="0075321E" w:rsidP="0075321E">
      <w:pPr>
        <w:numPr>
          <w:ilvl w:val="2"/>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Kompatybilność:</w:t>
      </w:r>
    </w:p>
    <w:p w14:paraId="5D40044E"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Karta sieciowa wykazana na liście kompatybilności modelu Synology RS1221RP+;</w:t>
      </w:r>
    </w:p>
    <w:p w14:paraId="7BF21E77"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Rozbudowa pamięci masowej o 3 dodatkowe dyski 2,5” SSD:</w:t>
      </w:r>
    </w:p>
    <w:p w14:paraId="1287BE48" w14:textId="77777777" w:rsidR="0075321E" w:rsidRPr="00E660B0" w:rsidRDefault="0075321E" w:rsidP="0075321E">
      <w:pPr>
        <w:numPr>
          <w:ilvl w:val="2"/>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7C9B9E27"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Typ dysku: SSD;</w:t>
      </w:r>
    </w:p>
    <w:p w14:paraId="790F41BD"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Pojemność: co najmniej 960GB;</w:t>
      </w:r>
    </w:p>
    <w:p w14:paraId="5959EE5D"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Format dysku: 2,5”;</w:t>
      </w:r>
    </w:p>
    <w:p w14:paraId="6A1A459E"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Odczyt sekwencyjny (128KB/QD32): 500MB/s;</w:t>
      </w:r>
    </w:p>
    <w:p w14:paraId="0CEDA474"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Zapis sekwencyjny (128KB/QD32): 500MB/s</w:t>
      </w:r>
    </w:p>
    <w:p w14:paraId="13CAB8C1"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Odczyt losowy (4KB/QD32): 90000 IOPS;</w:t>
      </w:r>
    </w:p>
    <w:p w14:paraId="631E89F2"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Zapis losowy (4KB/QD32): 30000 IOPS;</w:t>
      </w:r>
    </w:p>
    <w:p w14:paraId="259EEDD8"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Parametr zapisanych danych (TBW): minimum 1650TB;</w:t>
      </w:r>
    </w:p>
    <w:p w14:paraId="5D1744A5"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Uśredniony czas między awariami (MTBF): co najmniej 1,5mln godzin;</w:t>
      </w:r>
    </w:p>
    <w:p w14:paraId="60B14B3A"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Urządzenie wyposażone w moduł ochrony przed utratą danych na wypadek nagłej awarii zasilania;</w:t>
      </w:r>
    </w:p>
    <w:p w14:paraId="0C9FCF62"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aktualizacji oprogramowania dysku twardego SSD poprzez panel zarządzania pamięcią masową;</w:t>
      </w:r>
    </w:p>
    <w:p w14:paraId="69E397E0" w14:textId="77777777" w:rsidR="0075321E" w:rsidRPr="00E660B0" w:rsidRDefault="0075321E" w:rsidP="0075321E">
      <w:pPr>
        <w:numPr>
          <w:ilvl w:val="2"/>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Kompatybilność:</w:t>
      </w:r>
    </w:p>
    <w:p w14:paraId="5B464BD5" w14:textId="77777777" w:rsidR="0075321E" w:rsidRPr="00E660B0" w:rsidRDefault="0075321E" w:rsidP="0075321E">
      <w:pPr>
        <w:numPr>
          <w:ilvl w:val="3"/>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Dyski SSD wykazane na liście kompatybilności modelu Synology RS1221RP+;</w:t>
      </w:r>
    </w:p>
    <w:p w14:paraId="32D813F4"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 xml:space="preserve">Gwarancja producenta na kartę sieciową: </w:t>
      </w:r>
      <w:r w:rsidRPr="00E660B0">
        <w:rPr>
          <w:rFonts w:ascii="Tahoma" w:eastAsia="Calibri" w:hAnsi="Tahoma" w:cs="Tahoma"/>
          <w:kern w:val="2"/>
          <w14:ligatures w14:val="standardContextual"/>
        </w:rPr>
        <w:t>60 miesięcy;</w:t>
      </w:r>
    </w:p>
    <w:p w14:paraId="26824EDC"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 xml:space="preserve">Gwarancja producenta na dyski SSD: </w:t>
      </w:r>
      <w:r w:rsidRPr="00E660B0">
        <w:rPr>
          <w:rFonts w:ascii="Tahoma" w:eastAsia="Calibri" w:hAnsi="Tahoma" w:cs="Tahoma"/>
          <w:kern w:val="2"/>
          <w14:ligatures w14:val="standardContextual"/>
        </w:rPr>
        <w:t>60 miesięcy;</w:t>
      </w:r>
    </w:p>
    <w:p w14:paraId="701811E1"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 xml:space="preserve">Gwarancja producenta na moduły SFP+: </w:t>
      </w:r>
      <w:r w:rsidRPr="00E660B0">
        <w:rPr>
          <w:rFonts w:ascii="Tahoma" w:eastAsia="Calibri" w:hAnsi="Tahoma" w:cs="Tahoma"/>
          <w:kern w:val="2"/>
          <w14:ligatures w14:val="standardContextual"/>
        </w:rPr>
        <w:t>12 miesięcy;</w:t>
      </w:r>
    </w:p>
    <w:p w14:paraId="6672DB46" w14:textId="77777777" w:rsidR="0075321E" w:rsidRPr="00E660B0" w:rsidRDefault="0075321E" w:rsidP="0075321E">
      <w:pPr>
        <w:numPr>
          <w:ilvl w:val="1"/>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usługowy:</w:t>
      </w:r>
    </w:p>
    <w:p w14:paraId="5F52F40E" w14:textId="77777777" w:rsidR="0075321E" w:rsidRPr="00E660B0" w:rsidRDefault="0075321E" w:rsidP="0075321E">
      <w:pPr>
        <w:numPr>
          <w:ilvl w:val="2"/>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Instalacja dodatkowych 3 dysków SSD 2,5” w pamięci masowej;</w:t>
      </w:r>
    </w:p>
    <w:p w14:paraId="0C699EF2" w14:textId="77777777" w:rsidR="0075321E" w:rsidRPr="00E660B0" w:rsidRDefault="0075321E" w:rsidP="0075321E">
      <w:pPr>
        <w:numPr>
          <w:ilvl w:val="2"/>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Wymiana karty sieciowej PCI-E 2x10Gbe RJ45 na kartę sieciową PCI-E 2xSFP+ 10Gbe obsadzoną w moduły SFP+;</w:t>
      </w:r>
    </w:p>
    <w:p w14:paraId="4B0365EE" w14:textId="77777777" w:rsidR="0075321E" w:rsidRPr="00E660B0" w:rsidRDefault="0075321E" w:rsidP="0075321E">
      <w:pPr>
        <w:numPr>
          <w:ilvl w:val="2"/>
          <w:numId w:val="18"/>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Odtworzenie konfiguracji sieciowej zapewniającej pracę w trybie wysokiej dostępności pomiędzy dwoma macierzami dyskowymi poprzez istniejącą infrastrukturę światłowodową SingleMod za pomocą modułów SFP+ WDM;</w:t>
      </w:r>
    </w:p>
    <w:p w14:paraId="5C6A4841" w14:textId="77777777" w:rsidR="0075321E" w:rsidRPr="00E660B0" w:rsidRDefault="0075321E" w:rsidP="0075321E">
      <w:pPr>
        <w:spacing w:after="160" w:line="259" w:lineRule="auto"/>
        <w:ind w:left="340"/>
        <w:contextualSpacing/>
        <w:jc w:val="both"/>
        <w:rPr>
          <w:rFonts w:ascii="Tahoma" w:eastAsia="Calibri" w:hAnsi="Tahoma" w:cs="Tahoma"/>
          <w:b/>
          <w:bCs/>
          <w:kern w:val="2"/>
          <w14:ligatures w14:val="standardContextual"/>
        </w:rPr>
      </w:pPr>
    </w:p>
    <w:p w14:paraId="7462DBEC" w14:textId="77777777" w:rsidR="0075321E" w:rsidRPr="00E660B0" w:rsidRDefault="0075321E" w:rsidP="0075321E">
      <w:pPr>
        <w:numPr>
          <w:ilvl w:val="0"/>
          <w:numId w:val="18"/>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Urządzenie pamięci masowej NAS z funkcją pracy w trybie wysokiej dostępności (High Availability):</w:t>
      </w:r>
    </w:p>
    <w:p w14:paraId="0F9BE5AC"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6AC6B18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Procesor: cztero-rdzeniowy o taktowaniu bazowym minimum 2,2GHz z sprzętowym wsparciem szyfrowania AES-NI i wydajnością na poziomie minimum 4200 pkt., wg testów wydajności opublikowanych na stronie internetowej https://www.cpubenchmark.net/cpu_list.php;</w:t>
      </w:r>
    </w:p>
    <w:p w14:paraId="639665A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Pamięć operacyjna: minimum 8GB DDR4 ECC SODIMM;</w:t>
      </w:r>
    </w:p>
    <w:p w14:paraId="1BC6CC8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Obsługiwane dyski twarde: minimum 8 dysków twardych 3,5” lub 2,5”, kompatybilność z dyskami twardymi HDD oraz SSD. Każdy z dysków umieszczony w kieszeni umożliwiającej wyciągnięcie dysku podczas pracy urządzenia „na gorąco” (hot-plug) bez dodatkowych narzędzi;</w:t>
      </w:r>
    </w:p>
    <w:p w14:paraId="34A213F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rozbudowania maksymalnej pojemności dysków twardych do 12 sztuk za pomocą dedykowanej stacji rozszerzającej;</w:t>
      </w:r>
    </w:p>
    <w:p w14:paraId="48E5B7C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Obsadzenie dysków twardych: minimum 8 dysków HDD o pojemności minimum 12TB w formacie 3,5” w pełni kompatybilne z oferowaną macierzą dyskową oraz wykazane na liście kompatybilności z możliwością aktualizacji oprogramowania układowego dysku twardego z poziomu konsoli zarządzania pamięcią masową;</w:t>
      </w:r>
    </w:p>
    <w:p w14:paraId="2FC882E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Porty zewnętrzne: minimum 2 porty USB 3.2 1-wszej generacji;</w:t>
      </w:r>
    </w:p>
    <w:p w14:paraId="3A53569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Montaż: urządzenie dedykowane do montażu w szafie RACK 19” o wysokości montażowej 2U wyposażone w szyny umożliwiające wysunięcie urządzenia;</w:t>
      </w:r>
    </w:p>
    <w:p w14:paraId="2A2E14A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Interfejsy LAN Ethernet: minimum 4 porty LAN Ethernet 1Gbps oraz minimum 2 porty LAN Ethernet SFP+ 10Gbe wraz z zainstalowanymi modułami SFP+:</w:t>
      </w:r>
    </w:p>
    <w:p w14:paraId="44DA57A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moduł SFP+ LC Simplex SingleMod WDM 10Gbe;</w:t>
      </w:r>
    </w:p>
    <w:p w14:paraId="0761827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moduł SFP+ RJ45 10Gbe;</w:t>
      </w:r>
    </w:p>
    <w:p w14:paraId="42D74FD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Wraz z pamięcią masową należy dostarczyć dodatkowo:</w:t>
      </w:r>
    </w:p>
    <w:p w14:paraId="591FF7C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 sztuka - patchcord 2m SingleMod LC Simplex / SC Simplex WDM kompatybilny z zastosowaną wkładką SFP+ 10Gbe;</w:t>
      </w:r>
    </w:p>
    <w:p w14:paraId="3A7157FF"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lang w:val="en-GB"/>
          <w14:ligatures w14:val="standardContextual"/>
        </w:rPr>
      </w:pPr>
      <w:r w:rsidRPr="00E660B0">
        <w:rPr>
          <w:rFonts w:ascii="Tahoma" w:eastAsia="Calibri" w:hAnsi="Tahoma" w:cs="Tahoma"/>
          <w:kern w:val="2"/>
          <w:lang w:val="en-GB"/>
          <w14:ligatures w14:val="standardContextual"/>
        </w:rPr>
        <w:t>1 sztuka – patchcord 2m SingleMod SC Simplex / SC Simplex;</w:t>
      </w:r>
    </w:p>
    <w:p w14:paraId="2949AF2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Zaplanowane włączanie oraz wyłączanie wg ustalonego harmonogramu: dostępne;</w:t>
      </w:r>
    </w:p>
    <w:p w14:paraId="0AD112A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Zasilanie wejściowe: zasilacz redundantny (2 zasilacze) z funkcją wypinania w trakcie pracy urządzenia oraz automatycznego, bezprzerwowego przełączania zasilania podczas pracy urządzenia;</w:t>
      </w:r>
    </w:p>
    <w:p w14:paraId="11C5864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pracy w trybie wysokiej dostępności (High Availability) pomiędzy dwoma jednostkami o identycznej konfiguracji sprzętowej, zapewniająca przełączanie się między jednostką aktywna i pasywną w czasie rzeczywistym wraz z utrzymanymi w ramach pamięci masowej usługami sieciowymi SMB, NFS, iSCSI;</w:t>
      </w:r>
    </w:p>
    <w:p w14:paraId="61BE3EE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Funkcjonalność programowa dostępna bez konieczności zakupu dodatkowych licencji:</w:t>
      </w:r>
    </w:p>
    <w:p w14:paraId="5A809C6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ustalania limitów przydzielonych zasobów plikowych (tzw. quota) dla udostępnianych zasobów plikowych;</w:t>
      </w:r>
    </w:p>
    <w:p w14:paraId="12FC1B5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Wewnętrzne mechanizmy analizujące stan pamięci masowej, jej podzespołów oraz stan działania macierzy RAID skonfigurowanej w serwerze macierzy dyskowej wraz z raportowaniem stanu poprzez protokół SNMP, oraz powiadomienia e-mail do wyznaczonych odbiorców;</w:t>
      </w:r>
    </w:p>
    <w:p w14:paraId="6CB2AEB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przesyłania dzienników do zewnętrznego systemu logowania opartego o SYSLOG;</w:t>
      </w:r>
    </w:p>
    <w:p w14:paraId="1DE5FDA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Technologia migawek danych zawartych na pamięci masowej - folderów współdzielonych, partycji utworzonych przez użytkownika lub zbiorów danych np. jednostek LUN, umożliwiająca w zależności od typu przechowywanych danych (plików, folderów, obrazów dysków wirtualnych) przywracanie poszczególnych plików lub folderów z danego zakresu czasowego, objętego migawką. Migawki wykonywane według ustalonego harmonogramu umożliwiającego ustalenie precyzji do dnia, godziny, minuty z konfigurowalną powtarzalnością w ciągu dnia, tygodnia, miesiąca;</w:t>
      </w:r>
    </w:p>
    <w:p w14:paraId="1B40885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polegająca na instalacji oprogramowania agentowego na stacjach roboczych oraz serwerach pracujących pod kontrolą m.in. systemu Microsoft Windows oraz Linux, polegająca na ustalaniu harmonogramu wykonywania kopii zapasowych wyznaczonych plików oraz folderów z przestrzeni dyskowej klienta oprogramowania wraz z możliwością tworzenia pełnych obrazów dysku twardego komputera klienckiego umożliwiające odtworzenia klienta oprogramowania w trybie „bare-metal” wraz z funkcjonalnością przygotowania środowiska odzyskiwania służącego przeprowadzeniu procesu odtworzenia kopii dysku twardego w trybie „bare-metal”. Wymagana jest obsługa wykonywania migawek przy użyciu Volume Shadow Copy lub innego rozwiązania producenta, realizującego tą samą funkcję – wykonanie kopii danych które są w użyciu;</w:t>
      </w:r>
    </w:p>
    <w:p w14:paraId="15BA826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polegająca na wykonywaniu replikacji poza zasoby pamięci masowej wcześniej wykonanych migawek na urządzeniu w celu zapewnienia możliwości ich odtworzenia w przypadku krytycznej awarii pamięci masowej i potrzeby jej wymiany na nowy egzemplarz;</w:t>
      </w:r>
    </w:p>
    <w:p w14:paraId="2F29E11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tworzenia kompletnej kopii danych zawartych na pamięci masowej wraz z aplikacjami zainstalowanymi w obrębie pamięci masowej w wybranej przestrzeni dyskowej – lokalnej (osobnej macierzy RAID lub na nośniku USB) lub zdalnej za pomocą protokołu SMB bądź FTP;</w:t>
      </w:r>
    </w:p>
    <w:p w14:paraId="74AC2AB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Wszystkie procesy kopii zapasowych oraz migawek posiadają możliwość konfiguracji okresu przechowywania, opartego co najmniej o wartość liczbową ilości ostatnio wykonanych kopii;</w:t>
      </w:r>
    </w:p>
    <w:p w14:paraId="0BF034C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Wspierane protokoły sieciowe (co najmniej): SNMP, SSH, iSCSI, FTP, NFS, SMB;</w:t>
      </w:r>
    </w:p>
    <w:p w14:paraId="192699D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Zewnętrzne systemu plików (co najmniej) – np. poprzez podłączenie nośnika USB: BTFRS, EXT4, EXT3, FAT32, exFAT, NTFS, NFS+;</w:t>
      </w:r>
    </w:p>
    <w:p w14:paraId="78E82F6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Obsługiwane typy wewnętrznej macierzy dyskowej (RAID) (co najmniej): RAID0, RAID1, RAID10, RAID5, RAID6;</w:t>
      </w:r>
    </w:p>
    <w:p w14:paraId="7E7091D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Maksymalny rozmiar pojedynczego woluminu: minimum 90TB;</w:t>
      </w:r>
    </w:p>
    <w:p w14:paraId="3F988B5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Maksymalna liczba woluminów wewnętrznych: minimum 40;</w:t>
      </w:r>
    </w:p>
    <w:p w14:paraId="5A26BAD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Maksymalna liczba połączeń sieciowych SMB/CIFS/NFS/FTP (szacowane na podstawie testów FSCT): minimum 160;</w:t>
      </w:r>
    </w:p>
    <w:p w14:paraId="1ADB687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kontroli uprawnień systemu plików NTFS poprzez listy ACL: dostępne;</w:t>
      </w:r>
    </w:p>
    <w:p w14:paraId="6E44195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tworzenia oraz udostępniania zasobów sieciowych za pomocą protokołu plików SMB/CIFS w środowiskach domenowych Active Directory z prawidłowym rozpoznawaniem oraz ustawianiem uprawnień dostępu ACL systemu plików NTFS oraz uwierzytelnianiem przy pomocy aktywnych serwerów Active Directory Services: TAK:</w:t>
      </w:r>
    </w:p>
    <w:p w14:paraId="458DE71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Wbudowana zapora ogniowa (Firewall), konfigurowalna dla konkretnego interfejsu sieciowego z regułami ustawianymi na poziomie usług oraz portów z rozróżnieniem ruchu TCP/UDP oraz przychodzącego adresu IP, grupy adresów lub podsieci;</w:t>
      </w:r>
    </w:p>
    <w:p w14:paraId="6FE7432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segmentacji sieci LAN poprzez ustawienie identyfikatora VLAN TAG dla interfejsu sieciowego;</w:t>
      </w:r>
    </w:p>
    <w:p w14:paraId="1609362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Zarządzanie oraz konfiguracja urządzenia za pomocą protokołu HTTP, HTTPS, opcjonalnie SSH;</w:t>
      </w:r>
    </w:p>
    <w:p w14:paraId="7A6EFBC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zasilaczy awaryjnych UPS podłączonych za pomocą interfejsu USB, kompatybilny z urządzeniem z pkt. II - „Zasilacz awaryjny UPS o mocy pozornej 750VA – TYP A” w zakresie automatyzacji procesu zamknięcia pamięci masowej oraz wznowienia pracy w przypadku powrotu zasilania sieciowego AC;</w:t>
      </w:r>
    </w:p>
    <w:p w14:paraId="0EBE3FC4"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 xml:space="preserve">Gwarancja producenta na pamięć masową: </w:t>
      </w:r>
      <w:r w:rsidRPr="00E660B0">
        <w:rPr>
          <w:rFonts w:ascii="Tahoma" w:eastAsia="Calibri" w:hAnsi="Tahoma" w:cs="Tahoma"/>
          <w:kern w:val="2"/>
          <w14:ligatures w14:val="standardContextual"/>
        </w:rPr>
        <w:t>36 miesięcy;</w:t>
      </w:r>
    </w:p>
    <w:p w14:paraId="33A0EB7D"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 xml:space="preserve">Gwarancja producenta na dyski HDD: </w:t>
      </w:r>
      <w:r w:rsidRPr="00E660B0">
        <w:rPr>
          <w:rFonts w:ascii="Tahoma" w:eastAsia="Calibri" w:hAnsi="Tahoma" w:cs="Tahoma"/>
          <w:kern w:val="2"/>
          <w14:ligatures w14:val="standardContextual"/>
        </w:rPr>
        <w:t>36 miesięcy;</w:t>
      </w:r>
    </w:p>
    <w:p w14:paraId="3F76F779"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usługowy:</w:t>
      </w:r>
    </w:p>
    <w:p w14:paraId="5200A75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Instalacja urządzenia w szafie RACK w budynku Zamawiającego;</w:t>
      </w:r>
    </w:p>
    <w:p w14:paraId="7E215C6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Podłączenie interfejsów sieciowych w adresacjach przekazanych przez informatyka Urzędu z zastosowaniem segmentacji sieci 802.1q VLAN TAG;</w:t>
      </w:r>
    </w:p>
    <w:p w14:paraId="60E3799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Uruchomienie trybu wysokiej dostępności (High Availability) pomiędzy dwoma urządzeniami dostarczanymi w ramach postępowania poprzez komunikację realizowaną za pomocą modułów światłowodowych 10Gbe WDM z wykorzystaniem istniejącej infrastruktury światłowodowej SingleMod ułożonej pomiędzy dwoma budynkami zlokalizowanymi na terenie Gminy Zamawiającego;</w:t>
      </w:r>
    </w:p>
    <w:p w14:paraId="11BBA3E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Konfiguracja macierzy dyskowej w trybie RAID6;</w:t>
      </w:r>
    </w:p>
    <w:p w14:paraId="668B311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Ustawienie reguł zapory ogniowej Firewall według wytycznych informatyka Urzędu;</w:t>
      </w:r>
    </w:p>
    <w:p w14:paraId="04E79308"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vanish/>
          <w:kern w:val="2"/>
          <w14:ligatures w14:val="standardContextual"/>
        </w:rPr>
      </w:pPr>
    </w:p>
    <w:p w14:paraId="4300528D" w14:textId="77777777" w:rsidR="0075321E" w:rsidRPr="00E660B0" w:rsidRDefault="0075321E" w:rsidP="0075321E">
      <w:pPr>
        <w:spacing w:after="160" w:line="259" w:lineRule="auto"/>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br w:type="page"/>
      </w:r>
    </w:p>
    <w:p w14:paraId="7E6BD159"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Zasilacz awaryjny UPS o mocy pozornej 750VA – TYP A:</w:t>
      </w:r>
    </w:p>
    <w:p w14:paraId="094B3347"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24FAECA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Napięcie wejściowe: 220 - 240V/AC 50/60Hz;</w:t>
      </w:r>
    </w:p>
    <w:p w14:paraId="4955B5E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Napięcie wyjściowe: 220-240V;</w:t>
      </w:r>
    </w:p>
    <w:p w14:paraId="78306D0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Moc znamionowa: 500W;</w:t>
      </w:r>
    </w:p>
    <w:p w14:paraId="74D4A1E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Wejście zasilania: IEC 320 C14;</w:t>
      </w:r>
    </w:p>
    <w:p w14:paraId="1C530EE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Wyjścia zasilania: minimum 2x IEC 320 C13;</w:t>
      </w:r>
    </w:p>
    <w:p w14:paraId="396E94F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Typ obudowy: RACK 19” 2U z dostarczonymi szynami montażowymi do stelaża RACK 19” z podparciem na tylnych stelażach RACK szafy dystrybucyjnej;</w:t>
      </w:r>
    </w:p>
    <w:p w14:paraId="6256CA8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podtrzymania bateryjnego przy obciążeniu 100W: minimum 55 minut;</w:t>
      </w:r>
    </w:p>
    <w:p w14:paraId="36A3CF3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podtrzymania bateryjnego przy obciążeniu 200W: minimum 20 minut;</w:t>
      </w:r>
    </w:p>
    <w:p w14:paraId="45506F3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podtrzymania bateryjnego przy obciążeniu 300W: minimum 10 minut;</w:t>
      </w:r>
    </w:p>
    <w:p w14:paraId="39C7070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lang w:val="en-GB"/>
          <w14:ligatures w14:val="standardContextual"/>
        </w:rPr>
      </w:pPr>
      <w:r w:rsidRPr="00E660B0">
        <w:rPr>
          <w:rFonts w:ascii="Tahoma" w:eastAsia="Calibri" w:hAnsi="Tahoma" w:cs="Tahoma"/>
          <w:kern w:val="2"/>
          <w:lang w:val="en-GB"/>
          <w14:ligatures w14:val="standardContextual"/>
        </w:rPr>
        <w:t>Topologia zasilacza: Line-Interactive;</w:t>
      </w:r>
    </w:p>
    <w:p w14:paraId="2364F83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Typ przebiegu wyjściowego podczas zasilania bateryjnego: Sinusoida;</w:t>
      </w:r>
    </w:p>
    <w:p w14:paraId="73937F6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Interfejsy komunikacyjne: USB, RS-232, Ethernet RJ45;</w:t>
      </w:r>
    </w:p>
    <w:p w14:paraId="7C8B139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Zarządzanie przez panel LCD z przyciskami sterującymi umożliwiający weryfikację podstawowych parametrów pracy (m.in. obciążenia, czasu podtrzymania akumulatorowego, napięcie wejściowe, wyjściowe, uruchomienie procedury diagnostycznej, stanu naładowania akumulatorów);</w:t>
      </w:r>
    </w:p>
    <w:p w14:paraId="7E7C6AA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oprogramowania instalowanego w systemie operacyjnym: komunikacja przy użyciu portu komunikacyjnego USB lub RS-232 musi posiadać możliwość pracy w trybie usługi pod kontrolą systemu Windows lub Linux co wiąże się z jego automatycznym uruchomieniem podczas startu systemu operacyjnego oraz rozpoczęciu komunikacji z zasilaczem awaryjnym. Dostęp do aplikacji chroniony poprzez login oraz hasło ustawiane podczas instalacji lub po pierwszym uruchomieniu. Konfiguracja aplikacji poprzez interfejs WWW udostępniany przez usługę pracującą w tle z możliwością zarządzania zasilaczem awaryjnym, podgląd stanu obciążenia oraz szacowanego czasu podtrzymania, przeglądanie dzienników historycznych pracy urządzenia w tym stanów odnotowanych w dzienniku zdarzeń (np. zanik zasilania, powrót zasilania), konfiguracja grup wyjść zasilania, czasów opóźnień oraz sposobu działania w wypadku utraty zasilania sieciowego. Możliwość konfiguracji skryptu .bat/.sh (w zależności od systemu operacyjnego) wywoływanego w sytuacji zaniku zasilania oraz doprowadzenia do określonego poziomu naładowania baterii lub pozostałego czasu podtrzymania zasilania; Możliwość ustawienia opóźnienia uruchomienia UPS-a w postaci interwału czasowego lub określonego poziomu naładowania baterii.</w:t>
      </w:r>
    </w:p>
    <w:p w14:paraId="0613F21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Funkcjonalność portu Ethernet: komunikacja bezpośrednio z chmurą producenta </w:t>
      </w:r>
      <w:r w:rsidRPr="00E660B0">
        <w:rPr>
          <w:rFonts w:ascii="Tahoma" w:eastAsia="Calibri" w:hAnsi="Tahoma" w:cs="Tahoma"/>
          <w:kern w:val="2"/>
          <w14:ligatures w14:val="standardContextual"/>
        </w:rPr>
        <w:br/>
        <w:t xml:space="preserve">z możliwością konfigurowania powiadomień generowanych przez urządzenie </w:t>
      </w:r>
      <w:r w:rsidRPr="00E660B0">
        <w:rPr>
          <w:rFonts w:ascii="Tahoma" w:eastAsia="Calibri" w:hAnsi="Tahoma" w:cs="Tahoma"/>
          <w:kern w:val="2"/>
          <w14:ligatures w14:val="standardContextual"/>
        </w:rPr>
        <w:br/>
        <w:t>i przesyłanych przez system producenta do administratora w postaci wiadomości e-mail;</w:t>
      </w:r>
    </w:p>
    <w:p w14:paraId="463C28F6"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Gwarancja producenta na elektronikę zasilacza:</w:t>
      </w:r>
      <w:r w:rsidRPr="00E660B0">
        <w:rPr>
          <w:rFonts w:ascii="Tahoma" w:eastAsia="Calibri" w:hAnsi="Tahoma" w:cs="Tahoma"/>
          <w:kern w:val="2"/>
          <w14:ligatures w14:val="standardContextual"/>
        </w:rPr>
        <w:t xml:space="preserve"> 36 miesięcy;</w:t>
      </w:r>
    </w:p>
    <w:p w14:paraId="0CFC4AD3"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Gwarancja producenta na pakiet bateryjny:</w:t>
      </w:r>
      <w:r w:rsidRPr="00E660B0">
        <w:rPr>
          <w:rFonts w:ascii="Tahoma" w:eastAsia="Calibri" w:hAnsi="Tahoma" w:cs="Tahoma"/>
          <w:kern w:val="2"/>
          <w14:ligatures w14:val="standardContextual"/>
        </w:rPr>
        <w:t xml:space="preserve"> 24 miesiące;</w:t>
      </w:r>
    </w:p>
    <w:p w14:paraId="45CF31E1"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Zakres usługowy:</w:t>
      </w:r>
    </w:p>
    <w:p w14:paraId="38B96B8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Instalacja urządzenia w szafie RACK w miejscu wyznaczonym przez informatyka Urzędu, każde z urządzeń zainstalowane w szafie przy przypisanej mu pamięci masowej NAS z pkt. II oraz podłączone do zasilacza pamięci masowej;</w:t>
      </w:r>
    </w:p>
    <w:p w14:paraId="3C5F6F1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Podłączenie zasilacza awaryjnego za pomocą portu USB do pamięci masowej z pkt. II;</w:t>
      </w:r>
    </w:p>
    <w:p w14:paraId="3434A22A" w14:textId="77777777" w:rsidR="0075321E" w:rsidRPr="00E660B0" w:rsidRDefault="0075321E" w:rsidP="0075321E">
      <w:pPr>
        <w:spacing w:after="160" w:line="259" w:lineRule="auto"/>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br w:type="page"/>
      </w:r>
    </w:p>
    <w:p w14:paraId="623DE791"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Pakiet bateryjny kompatybilny z zasilaczem awaryjnym UPS APC SMX1000:</w:t>
      </w:r>
    </w:p>
    <w:p w14:paraId="7BE99C5C"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4C206AD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Wysokość montażowa w szafie RACK 19”: 2U;</w:t>
      </w:r>
    </w:p>
    <w:p w14:paraId="12AF5F7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Montaż: w zestawie lub akcesoryjny, regulowany zestaw montażowy do instalacji modułu bateryjnego  w szafie RACK 19” z wykorzystaniem 4 pionowych stelaży;</w:t>
      </w:r>
    </w:p>
    <w:p w14:paraId="6CEF571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Głębokość urządzenia: nieprzekraczająca 55cm;</w:t>
      </w:r>
    </w:p>
    <w:p w14:paraId="34EDD46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Waga urządzenia: nieprzekraczająca 35kg;</w:t>
      </w:r>
    </w:p>
    <w:p w14:paraId="22FAE17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Baterie: urządzenie wypełnione pełnym pakietem bateryjnym producenta;</w:t>
      </w:r>
    </w:p>
    <w:p w14:paraId="0DA86ED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podtrzymania dla obciążenia 200W w połączeniu z fabrycznym pakietem bateryjnym zasilacza UPS APC SMX1000 1000VA: co najmniej 3 godziny 30 minut;</w:t>
      </w:r>
    </w:p>
    <w:p w14:paraId="11B11B6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podtrzymania dla obciążenia 400W w połączeniu z fabrycznym pakietem bateryjnym zasilacza UPS APC SMX1000 1000VA: co najmniej 1 godzina 30 minut;</w:t>
      </w:r>
    </w:p>
    <w:p w14:paraId="5275FEF6"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Gwarancja producenta:</w:t>
      </w:r>
      <w:r w:rsidRPr="00E660B0">
        <w:rPr>
          <w:rFonts w:ascii="Tahoma" w:eastAsia="Calibri" w:hAnsi="Tahoma" w:cs="Tahoma"/>
          <w:kern w:val="2"/>
          <w14:ligatures w14:val="standardContextual"/>
        </w:rPr>
        <w:t xml:space="preserve"> 24 miesiące;</w:t>
      </w:r>
    </w:p>
    <w:p w14:paraId="13C2FF75"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Zakres usługowy:</w:t>
      </w:r>
    </w:p>
    <w:p w14:paraId="3ACEE80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Instalacja urządzenia w szafie dystrybucyjnej RACK w miejscu wskazanym przez informatyka Urzędu;</w:t>
      </w:r>
    </w:p>
    <w:p w14:paraId="2EA8E53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Podłączenie modułu bateryjnego do dedykowanego złącza zasilania urządzenia znajdującego się w infrastrukturze Zamawiającego;</w:t>
      </w:r>
    </w:p>
    <w:p w14:paraId="206DFBB8" w14:textId="77777777" w:rsidR="0075321E" w:rsidRPr="00E660B0" w:rsidRDefault="0075321E" w:rsidP="0075321E">
      <w:pPr>
        <w:spacing w:after="160" w:line="259" w:lineRule="auto"/>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br w:type="page"/>
      </w:r>
    </w:p>
    <w:p w14:paraId="365E970A"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Usługa serwera pocztowego w infrastrukturze technicznej Zamawiającego</w:t>
      </w:r>
    </w:p>
    <w:p w14:paraId="65D52243"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Zarys funkcjonalny: serwer pocztowy instalowany w infrastrukturze Zamawiającego w postaci maszyny wirtualnej zapewniający obsługę poczty elektronicznej e-mail z wsparciem dla protokołów POP3S/SMTPS/IMAPS oraz ActiveSync Exchange w celu synchronizacji kontaktów oraz kalendarzy danego użytkownika z serwerem oraz programami pocztowymi a także wspieranymi urządzeniami mobilnymi. Serwer pocztowy musi zapewniać pełną obsługę wszystkich standardowych protokołów zabezpieczeń SSL/TLS oraz DKIM. Użytkownicy mogą korzystać z serwera pocztowego za pomocą aplikacji tradycyjnych typu desktop/mobile (np. Thunderbird, Outlook) oraz za pomocą klienta WWW wspierającego autoryzację dwuskładnikową 2FA za pomocą bezpłatnie dostępnych narzędzi bazujących na mechanizmie TOTP. Serwer pocztowy musi posiadać wsparcie integracji z usługami antywirusowymi oraz anti-spam opierającymi się na rozwiązaniu producenta serwera pocztowego objętych zakupioną licencją na system pocztowy.</w:t>
      </w:r>
    </w:p>
    <w:p w14:paraId="3C90570E"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Zakres funkcjonalny:</w:t>
      </w:r>
    </w:p>
    <w:p w14:paraId="0868917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Pakiety instalacyjne dostępne dla platform Microsoft Windows Server 2019+ oraz Windows 11, dystrybucji LINUX (RedHat, CentOS, Oracle Linux, Rocky Linux, Ubuntu, Debian) oraz w postaci kontenerów DOCKER;</w:t>
      </w:r>
    </w:p>
    <w:p w14:paraId="2EA0A8B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Wsparcie dla środowisk klastrowania: Windows Fileover Cluster, RedHat Clustering Suite, </w:t>
      </w:r>
    </w:p>
    <w:p w14:paraId="647465D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ustawienia limitu objętości skrzynki e-mail, rozmiaru załączników, rozmiaru objętości całej wiadomości, czasu nieaktywności sesji, ilości wysłanych wiadomości w przeciągu 60 minut oraz filtrowania wiadomości HTML;</w:t>
      </w:r>
    </w:p>
    <w:p w14:paraId="6072E2C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Wielowarstwowe funkcje filtrowania wiadomości e-mail na poziomie serwera, domeny, użytkownika poprzez konfigurowanie filtrów, określanie ich kolejności wykonywania oraz określania zadań do wykonania na podstawie wyników filtrowania.</w:t>
      </w:r>
    </w:p>
    <w:p w14:paraId="3272128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Skanowanie wiadomości odbywa się poprzez weryfikację rekordów SPF, filtrowanie antywirusowe, weryfikację w oparciu o listy anty-spam, weryfikację DMARC (połączenie DKIM i SPF). Istnieje możliwość integracji oprogramowania z otwartymi modułami takimi jak SpamAssassin, Rpamd, ClamAV lub innymi mechanizmami posiadającymi interfejs API dzięki językowi skryptowemu umożliwiającemu tworzenie połączeń z systemami zewnętrznymi;</w:t>
      </w:r>
    </w:p>
    <w:p w14:paraId="5D3DAE0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klastrowania umożliwiająca delegację zadań serwera pocztowego do różnych instancji maszyn wirtualnych w zakresie obsługi SMTP, serwera WEB, POP lub IMAP;</w:t>
      </w:r>
    </w:p>
    <w:p w14:paraId="2249BBA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Zarządzanie administracyjne oraz funkcje: zarządzanie poprzez serwis WWW, automatyzacja operacji za pomocą poleceń CLI lub API, możliwość ustawienia stałej sesji Administracyjnej (bez automatycznego wylogowania), tworzenie wysyłki masowej na poziomie domeny/serwera/grupy użytkowników, powiadomienia o przekroczeniu przydzielonych limitów (np. konta), automatyzacja czyszczenia kosza oraz folderu SPAM, tworzenie losowych haseł dla nowo tworzonych kont użytkowników, wymuszenie polityki bezpieczeństwa haseł (ilość znaków, typy znaków), automatyzacja tworzenia kont na podstawie kont Active Directory, możliwość stosowania certyfikatów Let’s Encrypt oraz automatyzacja ich instalacji, możliwość instalowania w panelu zarządzania własnych komponentów graficznych (np. LOGO), zarządzanie certyfikatami SSL </w:t>
      </w:r>
      <w:r w:rsidRPr="00E660B0">
        <w:rPr>
          <w:rFonts w:ascii="Tahoma" w:eastAsia="Calibri" w:hAnsi="Tahoma" w:cs="Tahoma"/>
          <w:kern w:val="2"/>
          <w14:ligatures w14:val="standardContextual"/>
        </w:rPr>
        <w:lastRenderedPageBreak/>
        <w:t>(instalacja własnych certyfikatów SSL, odnawianie, tworzenie i odnowienie certyfikatów Let’s Encrypt), włączenie wymuszenia stosowania autoryzacji 2FA dla użytkowników domeny na poziomie każdego użytkownika;</w:t>
      </w:r>
    </w:p>
    <w:p w14:paraId="01B0B43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Kategoryzacja użytkowników: możliwość przydzielania ograniczeń dotyczących kont e-mail bazujących na grupach lub indywidualnych użytkownikach, możliwość określenia przyjmowania lub wysyłania wiadomości do określonej grupy odbiorców lub nadawców, określenia grup ograniczeń przydziałów dyskowych z możliwością ręcznego nadpisania dla danego użytkownika uprawnień dziedziczonych z grupy;</w:t>
      </w:r>
    </w:p>
    <w:p w14:paraId="72FF2EF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Inteligentne przetwarzania wiadomości przychodzących polegające na kolejkowaniu na bazie domeny nadawcy wiadomości oraz nakładaniu filtrów wiadomości;</w:t>
      </w:r>
    </w:p>
    <w:p w14:paraId="42B9E3B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Określanie polityk ponawiania połączeń dotyczących wysyłanych wiadomości pocztowych na wypadek niedostępności usług np. sieci Internet dla serwera pocztowego;</w:t>
      </w:r>
    </w:p>
    <w:p w14:paraId="7062E65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Wbudowany cache nazw DNS oraz możliwość przydzielania odmiennych zewnętrznych adresów IP którymi prezentuje się serwer dla różnych domen zaparkowanych w usłudze;</w:t>
      </w:r>
    </w:p>
    <w:p w14:paraId="1D2B43D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Raportowanie i statystyki zawierające m.in.: statystyki serwera (obciążenie, zajętość), statystyki utylizacji interfejsów sieciowych, wykresy graficzne, szczegółowe raporty zużycia przestrzeni dyskowej wraz z funkcjonalnością przekazywania danych za pomocą metryk SNMP;</w:t>
      </w:r>
    </w:p>
    <w:p w14:paraId="1FD562F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Archiwizacja dzienników zdarzeń na określonych poziomach ważności z podziałem na usługi wewnętrzne;</w:t>
      </w:r>
    </w:p>
    <w:p w14:paraId="5843A1B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rozszerzania dostępnej powierzchni dyskowej przydzielonej dla systemu, funkcjonalność deduplikacji wiadomości pocztowych (w przypadku wysyłania tej samej wiadomości do wielu odbiorców z wnętrza domeny);</w:t>
      </w:r>
    </w:p>
    <w:p w14:paraId="359F8B2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dla użytkownika końcowego – użytkownika konta pocztowego:</w:t>
      </w:r>
    </w:p>
    <w:p w14:paraId="44A91375"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Klient WEB HTML5 w wersji dla urządzeń desktop oraz wersja mobilna;</w:t>
      </w:r>
    </w:p>
    <w:p w14:paraId="255C384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Książka adresowa: kontakty, grupy, listy dystrybucyjne (osobiste, domenowe, globalne);</w:t>
      </w:r>
    </w:p>
    <w:p w14:paraId="5DE72420"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WEB wielojęzykowa z różnymi skórkami graficznymi i obsługą języka polskiego;</w:t>
      </w:r>
    </w:p>
    <w:p w14:paraId="0761CBE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Kalendarz, zadania, notatki;</w:t>
      </w:r>
    </w:p>
    <w:p w14:paraId="4DD7FC1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tworzenia własnych reguł wiadomości oraz własnych czarnych list;</w:t>
      </w:r>
    </w:p>
    <w:p w14:paraId="71EEC76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Importowanie, eksportowanie list kontaktów;</w:t>
      </w:r>
    </w:p>
    <w:p w14:paraId="7064E4CD"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Ustawienie wymagań dotyczących potwierdzeń wiadomości;</w:t>
      </w:r>
    </w:p>
    <w:p w14:paraId="69AA8EC5"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Współdzielenie z innymi użytkownikami kalendarza, kontaktów, zadań;</w:t>
      </w:r>
    </w:p>
    <w:p w14:paraId="4F3416F9"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Dodawanie urządzenia bazującego na TOTP do przeprowadzania weryfikacji dwuetapowej (2FA);</w:t>
      </w:r>
    </w:p>
    <w:p w14:paraId="1C622E8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Funkcje z zakresu bezpieczeństwa: filtrowanie opierające się na wyniku (score) mechanizmów Antispam i Antivirus, filtrowanie na poziomie serwera, domeny, użytkownika, białe/czarny listy na poziomie IP/Domeny, weryfikacja nadawcy wiadomości w oparciu o DMARC (SPF/DKIM), filtrowanie wiadomości bazujące na kraju serwera pocztowego nadawcy, ograniczenia w zakresie rozmiaru wiadomości, ograniczenie ilości maksymalnie nawiązanych jednoczesnych </w:t>
      </w:r>
      <w:r w:rsidRPr="00E660B0">
        <w:rPr>
          <w:rFonts w:ascii="Tahoma" w:eastAsia="Calibri" w:hAnsi="Tahoma" w:cs="Tahoma"/>
          <w:kern w:val="2"/>
          <w14:ligatures w14:val="standardContextual"/>
        </w:rPr>
        <w:lastRenderedPageBreak/>
        <w:t>połączeń, weryfikacja adresu IP serwera pocztowego poprzez ReverseDNS, wymuszenie połączeń SSL/TLS, filtrowanie wiadomości na podstawie rozszerzenia załącznika;</w:t>
      </w:r>
    </w:p>
    <w:p w14:paraId="7D9F528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Kopie bezpieczeństwa: tworzenie oraz odtwarzanie kopii całościowych lub częściowych w hierarchii: wiadomość, folder wiadomości, odbiorca wiadomości, grupa, lista mailingowa, konto e-mail, folder publiczny, domena. Serwer zapewnia funkcjonalność umożliwiającą tworzenie regularnych kopii udostępnianych poprzez protokół FTP za pomocą których istnieje możliwość odtworzenia serwera pocztowego.</w:t>
      </w:r>
    </w:p>
    <w:p w14:paraId="642EA178"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Licencjonowanie:</w:t>
      </w:r>
    </w:p>
    <w:p w14:paraId="6BF565E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trwania licencji: 24 miesiące;</w:t>
      </w:r>
    </w:p>
    <w:p w14:paraId="40539C5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Zakres licencji:</w:t>
      </w:r>
    </w:p>
    <w:p w14:paraId="62A2C4BF"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Ilość użytkowników: 100 kont;</w:t>
      </w:r>
    </w:p>
    <w:p w14:paraId="1962C43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Moduły dla wszystkich kont: Antispam, Antivirus, ActiveSync Exchange;</w:t>
      </w:r>
    </w:p>
    <w:p w14:paraId="7D0ED409"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usługowy:</w:t>
      </w:r>
    </w:p>
    <w:p w14:paraId="3CE95DD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Zakres zadań do wykonania w ramach instalacji systemu pocztowego:</w:t>
      </w:r>
    </w:p>
    <w:p w14:paraId="5FC21BF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Instalacja nowego systemu poczty elektronicznej na przygotowanej przez informatyka Urzędu maszynie wirtualnej;</w:t>
      </w:r>
    </w:p>
    <w:p w14:paraId="34B85755"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Konfiguracja systemu pocztowego w zakresie funkcjonalnym w konsultacji </w:t>
      </w:r>
      <w:r w:rsidRPr="00E660B0">
        <w:rPr>
          <w:rFonts w:ascii="Tahoma" w:eastAsia="Calibri" w:hAnsi="Tahoma" w:cs="Tahoma"/>
          <w:kern w:val="2"/>
          <w14:ligatures w14:val="standardContextual"/>
        </w:rPr>
        <w:br/>
        <w:t>z informatykiem, m.in. uruchomienie usług poczty elektronicznej, kalendarzy, grup dystrybucyjnych, wspólnej bazy kontaktów oraz domyślnej budowy podpisów wiadomości e-mail;</w:t>
      </w:r>
    </w:p>
    <w:p w14:paraId="1EFB27F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Odtworzenie listy kont pocztowych w nowym systemie pocztowym odzwierciedlające wszystkie konta w obecnym systemie pocztowym oraz przekazanie dokumentacji dotyczącej każdego konta pocztowego informatykowi Urzędu;</w:t>
      </w:r>
    </w:p>
    <w:p w14:paraId="2439825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Przeprowadzenie szkolenia dla użytkowników systemu zrealizowanego w siedzibie Zamawiającego</w:t>
      </w:r>
      <w:r w:rsidRPr="00E660B0">
        <w:rPr>
          <w:rFonts w:ascii="Tahoma" w:eastAsia="Calibri" w:hAnsi="Tahoma" w:cs="Tahoma"/>
          <w:kern w:val="2"/>
          <w14:ligatures w14:val="standardContextual"/>
        </w:rPr>
        <w:t xml:space="preserve"> w wymiarze minimum 2 godzin uwzględniającego wszystkie elementy użytkowania systemu m.in. obsługa poczty, konfiguracja filtrów, obsługa listy kontaktów, kalendarza, automatyczne odpowiedzi na czas nieobecności, przekierowania poczty do innego użytkownika systemu, okresowa zmiana hasła;</w:t>
      </w:r>
    </w:p>
    <w:p w14:paraId="4D49A88E"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Przygotowanie instrukcji w formie plików PDF lub nagrań wideo dla użytkowników końcowych</w:t>
      </w:r>
      <w:r w:rsidRPr="00E660B0">
        <w:rPr>
          <w:rFonts w:ascii="Tahoma" w:eastAsia="Calibri" w:hAnsi="Tahoma" w:cs="Tahoma"/>
          <w:kern w:val="2"/>
          <w14:ligatures w14:val="standardContextual"/>
        </w:rPr>
        <w:t xml:space="preserve"> opisujących i przedstawiających w formie przykładów prawidłowe wykorzystywanie omówionych funkcji;</w:t>
      </w:r>
    </w:p>
    <w:p w14:paraId="1DD439D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Przygotowanie konfiguracji serwera pocztowego w konsultacji z informatykiem Urzędu pod kątem odbioru oraz wysyłki elektronicznej z uwzględnieniem analizy rekordów DKIM/DMARC/SPF;</w:t>
      </w:r>
    </w:p>
    <w:p w14:paraId="71BB8FF2"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Ustalenie w konsultacji z informatykiem Urzędu formy i parametrów modyfikacji rekordów DNS dla MX, DKIM, DMARC, SPF wraz z przekazaniem wartości rekordów;</w:t>
      </w:r>
    </w:p>
    <w:p w14:paraId="438E228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Uruchomienie usługi uwierzytelniania do systemu pocztowego za pomocą panelu WWW poprzez mechanizm 2FA oparty o protokół TOTP </w:t>
      </w:r>
      <w:r w:rsidRPr="00E660B0">
        <w:rPr>
          <w:rFonts w:ascii="Tahoma" w:eastAsia="Calibri" w:hAnsi="Tahoma" w:cs="Tahoma"/>
          <w:b/>
          <w:bCs/>
          <w:kern w:val="2"/>
          <w14:ligatures w14:val="standardContextual"/>
        </w:rPr>
        <w:t xml:space="preserve">indywidualnie przy każdym użytkowniku konta pocztowego w miejsc pracy użytkownika. </w:t>
      </w:r>
      <w:r w:rsidRPr="00E660B0">
        <w:rPr>
          <w:rFonts w:ascii="Tahoma" w:eastAsia="Calibri" w:hAnsi="Tahoma" w:cs="Tahoma"/>
          <w:b/>
          <w:bCs/>
          <w:kern w:val="2"/>
          <w14:ligatures w14:val="standardContextual"/>
        </w:rPr>
        <w:br/>
        <w:t>Wszyscy użytkownicy znajdują się na terenie Gminy Zamawiającego.</w:t>
      </w:r>
    </w:p>
    <w:p w14:paraId="3ECECF2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Dokonanie weryfikacji prawidłowego pobierania oraz wysyłania poczty elektronicznej z kont użytkowników;</w:t>
      </w:r>
    </w:p>
    <w:p w14:paraId="1EED3980"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Wykonanie przeniesienia zawartości każdego z kont pocztowych na konto odzwierciedlone w nowym systemie pocztowym;</w:t>
      </w:r>
    </w:p>
    <w:p w14:paraId="0DC3976E"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Wsparcie techniczne:</w:t>
      </w:r>
    </w:p>
    <w:p w14:paraId="239505B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Wykonawca zapewnia wsparcie technicznie przez cały okres licencjonowania w dni robocze w godzinach od 8:00 do 16:00 w zakresie wyjaśnień dotyczących funkcjonalności systemu, wsparcia w jego konfiguracji oraz realizacji zgłoszonych usterek technicznych bez ograniczenia liczby zgłoszeń oraz czasu realizacji;</w:t>
      </w:r>
    </w:p>
    <w:p w14:paraId="27092482"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polega na analizie w siedzibie Zamawiającego lub za pomocą udostępnionego przez informatyka Urzędu kanału zdalnego zgłoszonego problemu technicznego z działaniem usługi pocztowej;</w:t>
      </w:r>
    </w:p>
    <w:p w14:paraId="24CA5FB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Czas reakcji od przyjęcia zgłoszenia do fizycznego rozpoczęcia prac w konsultacji </w:t>
      </w:r>
      <w:r w:rsidRPr="00E660B0">
        <w:rPr>
          <w:rFonts w:ascii="Tahoma" w:eastAsia="Calibri" w:hAnsi="Tahoma" w:cs="Tahoma"/>
          <w:kern w:val="2"/>
          <w14:ligatures w14:val="standardContextual"/>
        </w:rPr>
        <w:br/>
        <w:t>z informatykiem Urzędu nie może przekraczać 2 godzin;</w:t>
      </w:r>
    </w:p>
    <w:p w14:paraId="02C6330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Jeżeli rozwiązanie problemu technicznego nie może zostać zrealizowane </w:t>
      </w:r>
      <w:r w:rsidRPr="00E660B0">
        <w:rPr>
          <w:rFonts w:ascii="Tahoma" w:eastAsia="Calibri" w:hAnsi="Tahoma" w:cs="Tahoma"/>
          <w:kern w:val="2"/>
          <w14:ligatures w14:val="standardContextual"/>
        </w:rPr>
        <w:br/>
        <w:t>w przeciągu 4 godzin od zgłoszenia usterki, wymagane jest powiadomienie informatyka Urzędu o charakterze usterki, podjętych w międzyczasie pracach wraz z uzasadnieniem;</w:t>
      </w:r>
    </w:p>
    <w:p w14:paraId="089FE3E4" w14:textId="77777777" w:rsidR="0075321E" w:rsidRPr="00E660B0" w:rsidRDefault="0075321E" w:rsidP="0075321E">
      <w:pPr>
        <w:spacing w:after="160" w:line="259" w:lineRule="auto"/>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br w:type="page"/>
      </w:r>
    </w:p>
    <w:p w14:paraId="78F66796"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Rozszerzenie licencji oprogramowania do inwentaryzacji zasobów informatycznych oraz oprogramowania kryptograficzno-analitycznego dla jednostki Ośrodek Pomocy Społecznej w Kornowacu:</w:t>
      </w:r>
    </w:p>
    <w:p w14:paraId="1FF0DA73"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funkcjonalny</w:t>
      </w:r>
    </w:p>
    <w:p w14:paraId="75F926C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e-mail – monitorowanie wiadomości przesyłanych za pomocą poczty e-mail, blokowanie przesyłania plików, alarmy, powiadomienia, wyzwalanie akcji na podstawie kryteriów, logi zdarzeń;</w:t>
      </w:r>
    </w:p>
    <w:p w14:paraId="725242B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usług przechowywania w chmurze – monitorowanie danych przesyłanych do chmury, blokowanie dostępu, alarmy, powiadomienia, wyzwalanie akcji na podstawie kryteriów, logi zdarzeń;</w:t>
      </w:r>
    </w:p>
    <w:p w14:paraId="58D641D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danych w ruchu, plików – monitorowanie i blokowanie operacji na plikach, utworzenie, otwarcie, usunięcie, zmiana nazwy;</w:t>
      </w:r>
    </w:p>
    <w:p w14:paraId="2EA7D8F3"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Licencjonowanie:</w:t>
      </w:r>
    </w:p>
    <w:p w14:paraId="783ABCF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Licencja w pełni kompatybilna i rozszerzająca istniejący system BTC eAuditor, nie dopuszcza się zaoferowania innego produktu niż rozszerzenie istniejącej licencji przez oficjalny kanał dystrybucji producenta;</w:t>
      </w:r>
    </w:p>
    <w:p w14:paraId="006F3B2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Liczba stanowisk: 50;</w:t>
      </w:r>
    </w:p>
    <w:p w14:paraId="463CF34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Kompatybilny moduł: Ochrony danych w ruchu (DR);</w:t>
      </w:r>
    </w:p>
    <w:p w14:paraId="2B4EAA4A"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Uwagi:</w:t>
      </w:r>
    </w:p>
    <w:p w14:paraId="03E7AB9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Rozszerzenie licencji potwierdzone certyfikatem wystawionym przez producenta systemu;</w:t>
      </w:r>
    </w:p>
    <w:p w14:paraId="69AF212A"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7E982983" w14:textId="77777777" w:rsidR="0075321E" w:rsidRPr="00E660B0" w:rsidRDefault="0075321E" w:rsidP="0075321E">
      <w:pPr>
        <w:spacing w:after="160" w:line="259" w:lineRule="auto"/>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br w:type="page"/>
      </w:r>
    </w:p>
    <w:p w14:paraId="2E7D7DF4"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Rozszerzenie licencji oprogramowania do inwentaryzacji zasobów informatycznych oraz oprogramowania kryptograficzno-analitycznego dla jednostki Urząd Gminy w Kornowacu</w:t>
      </w:r>
    </w:p>
    <w:p w14:paraId="1F55BAC1"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funkcjonalny</w:t>
      </w:r>
    </w:p>
    <w:p w14:paraId="36EA520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e-mail – monitorowanie wiadomości przesyłanych za pomocą poczty e-mail, blokowanie przesyłania plików, alarmy, powiadomienia, wyzwalanie akcji na podstawie kryteriów, logi zdarzeń;</w:t>
      </w:r>
    </w:p>
    <w:p w14:paraId="5659E78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usług przechowywania w chmurze – monitorowanie danych przesyłanych do chmury, blokowanie dostępu, alarmy, powiadomienia, wyzwalanie akcji na podstawie kryteriów, logi zdarzeń;</w:t>
      </w:r>
    </w:p>
    <w:p w14:paraId="5214121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Analiza danych w ruchu, plików – monitorowanie i blokowanie operacji na plikach, utworzenie, otwarcie, usunięcie, zmiana nazwy;</w:t>
      </w:r>
    </w:p>
    <w:p w14:paraId="6706D358"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Licencjonowanie:</w:t>
      </w:r>
    </w:p>
    <w:p w14:paraId="0BE6D2C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Licencja w pełni kompatybilna i rozszerzająca istniejący system BTC eAuditor, nie dopuszcza się zaoferowania innego produktu niż rozszerzenie istniejącej licencji przez oficjalny kanał dystrybucji producenta;</w:t>
      </w:r>
    </w:p>
    <w:p w14:paraId="312FEC4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Liczba stanowisk: 60;</w:t>
      </w:r>
    </w:p>
    <w:p w14:paraId="168892E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Kompatybilny moduł: Ochrony danych w ruchu (DR);</w:t>
      </w:r>
    </w:p>
    <w:p w14:paraId="10775380"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Uwagi:</w:t>
      </w:r>
    </w:p>
    <w:p w14:paraId="4CCB0AD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Rozszerzenie licencji potwierdzone certyfikatem wystawionym przez producenta systemu;</w:t>
      </w:r>
    </w:p>
    <w:p w14:paraId="246C0D43"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65B5D1D5"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277C4ACF"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72B2D7F2"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49C7EF94"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47E16F5B"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12BC15A2"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33BFF56F"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7981A929"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7E35A859"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6938042B"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482B1EBD"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75B1D4C6"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2C12E78D"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37188574"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0647EE8E"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6045826E" w14:textId="3A82B01E" w:rsidR="0075321E" w:rsidRPr="00E660B0" w:rsidRDefault="0075321E" w:rsidP="0075321E">
      <w:pPr>
        <w:spacing w:after="160" w:line="259" w:lineRule="auto"/>
        <w:jc w:val="center"/>
        <w:rPr>
          <w:rFonts w:ascii="Tahoma" w:eastAsia="Calibri" w:hAnsi="Tahoma" w:cs="Tahoma"/>
          <w:b/>
          <w:bCs/>
          <w:kern w:val="2"/>
          <w14:ligatures w14:val="standardContextual"/>
        </w:rPr>
      </w:pPr>
    </w:p>
    <w:p w14:paraId="65A98D8D"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Serwer obliczeniowy</w:t>
      </w:r>
    </w:p>
    <w:p w14:paraId="34A84106"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Parametry techniczne:</w:t>
      </w:r>
    </w:p>
    <w:p w14:paraId="35D3651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Format obudowy: RACK 19” 1U;</w:t>
      </w:r>
    </w:p>
    <w:p w14:paraId="09DACC8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Porty USB: z przodu 2 porty w tym jeden port USB 3.2 Gen1 dla standardowych urządzeń USB oraz jeden port USB dedykowany dla komunikacji z modułami zarządzania serwerem;</w:t>
      </w:r>
    </w:p>
    <w:p w14:paraId="29E4F2F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Złącza wideo: VGA;</w:t>
      </w:r>
    </w:p>
    <w:p w14:paraId="4F4ACA9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Interfejsy sieciowe:</w:t>
      </w:r>
    </w:p>
    <w:p w14:paraId="034B1EA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Karta sieciowa nr 1: 2 porty sieciowe RJ45 10Gbe karta na slocie OCP3;</w:t>
      </w:r>
    </w:p>
    <w:p w14:paraId="73E2F88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Karta sieciowa nr 2: 2 porty sieciowe RJ45 10Gbe karta na slocie PCI-E;</w:t>
      </w:r>
    </w:p>
    <w:p w14:paraId="65653E6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Interfejsy diagnostyczne (sieciowe): 1 port 1Gbps RJ45;</w:t>
      </w:r>
    </w:p>
    <w:p w14:paraId="78186483" w14:textId="438CFF41"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Zasilacz redundantny z funkcją wyciągania w trakcie pracy urządzenia oraz automatycznym przełączaniem między zasilaczami w przypadku braku zasilania sieciowego na którymkolwiek z nich. Zasilacze obsługują tryb pracy równoważenia obciążenia oraz pracę w trybie active / standby;</w:t>
      </w:r>
    </w:p>
    <w:p w14:paraId="5AD4E70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Pamięć operacyjna: 12 slotów pamięci RAM DDR5 obsadzonych w 4 moduły RAM o pojemności 32GB dając łącznie 128GB pamięci operacyjnej;</w:t>
      </w:r>
    </w:p>
    <w:p w14:paraId="34AFF80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Moduł TPM 2.0: wbudowany;</w:t>
      </w:r>
    </w:p>
    <w:p w14:paraId="5DCBAB8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Sloty PCI-E: 1 slot PCI-E na podstawowym raiserze obsadzony kartą sieciową PCI-E;</w:t>
      </w:r>
    </w:p>
    <w:p w14:paraId="6980BC6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Procesor: 16 rdzeni (32 wątki) o taktowaniu bazowym 2,6Ghz i wydajności co najmniej 47000 punktów wg testów wydajności opublikowanych na stronie internetowej </w:t>
      </w:r>
      <w:hyperlink r:id="rId7" w:history="1">
        <w:r w:rsidRPr="00E660B0">
          <w:rPr>
            <w:rFonts w:ascii="Tahoma" w:eastAsia="Calibri" w:hAnsi="Tahoma" w:cs="Tahoma"/>
            <w:color w:val="0563C1"/>
            <w:kern w:val="2"/>
            <w:u w:val="single"/>
            <w14:ligatures w14:val="standardContextual"/>
          </w:rPr>
          <w:t>https://www.cpubenchmark.net/cpu_list.php</w:t>
        </w:r>
      </w:hyperlink>
      <w:r w:rsidRPr="00E660B0">
        <w:rPr>
          <w:rFonts w:ascii="Tahoma" w:eastAsia="Calibri" w:hAnsi="Tahoma" w:cs="Tahoma"/>
          <w:kern w:val="2"/>
          <w14:ligatures w14:val="standardContextual"/>
        </w:rPr>
        <w:t>;</w:t>
      </w:r>
    </w:p>
    <w:p w14:paraId="0AC88B2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Kontroler pamięci masowej RAID: zainstalowany w slocie OCP, obsługa 8 dysków twardych, 4GB pamięci cache, podtrzymaniem bateryjnym oraz obsługą co najmniej trybu pracy RAID 0, 1, 10 oraz 6;</w:t>
      </w:r>
    </w:p>
    <w:p w14:paraId="4A8EC81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Obsadzenie dysków twardych:</w:t>
      </w:r>
    </w:p>
    <w:p w14:paraId="629FA07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Dyski SSD SATA: 2 dyski 480GB SSD SATA w formacie 2,5” w kieszeniach z możliwością wypinania w trakcie pracy „hot-plug” objęte gwarancją producenta serwera wraz z jej automatycznym przedłużaniem w ramach przedłużania gwarancji serwera;</w:t>
      </w:r>
    </w:p>
    <w:p w14:paraId="20DB6A85"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Dyski HDD SAS: 6 dysków 2,4TB SAS o prędkości obrotowej 10000 obr./min. w formacie 2,5” w kieszeniach z możliwością wypinania w trakcie pracy „hot-plug” objęte gwarancją producenta serwera wraz z jej automatycznym przedłużaniem w ramach przedłużania gwarancji serwera;</w:t>
      </w:r>
    </w:p>
    <w:p w14:paraId="1C9224C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Sygnalizacja diodowa: sygnalizacja diodowa stanu serwera (wykrycia nieprawidłowej pracy komponentów) zlokalizowana z przodu obudowy;</w:t>
      </w:r>
    </w:p>
    <w:p w14:paraId="2D9952B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Konfiguracja systemu oraz inne parametry: wsparcie dla uruchomienia typu Secure Boot, wbudowany interfejs zarządzania UEFI SHELL, graficzna konfiguracja BIOS/UEFI włącznie z konfiguracją kontrolera pamięci masowej łącznie z tworzeniem oraz konfiguracją macierzy dyskowych na wbudowanych dyskach HDD/SSD. Konfiguracja graficzna karty zarządzania w zakresie podstawowych parametrów pracy m.in. konfiguracji adresu IP;</w:t>
      </w:r>
    </w:p>
    <w:p w14:paraId="6E07E6D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Interfejs zarządzania oraz diagnostyki: Zarządzanie co najmniej poprzez HTTPS oraz SSH z wsparciem dla segmentacji sieci VLAN;</w:t>
      </w:r>
    </w:p>
    <w:p w14:paraId="402F993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Zakres funkcjonalny interfejsu zarządzania: Dostępność interfejsu oraz interakcja z serwerem w sytuacji wyłączenia serwera ale z podłączonym </w:t>
      </w:r>
      <w:r w:rsidRPr="00E660B0">
        <w:rPr>
          <w:rFonts w:ascii="Tahoma" w:eastAsia="Calibri" w:hAnsi="Tahoma" w:cs="Tahoma"/>
          <w:kern w:val="2"/>
          <w14:ligatures w14:val="standardContextual"/>
        </w:rPr>
        <w:lastRenderedPageBreak/>
        <w:t>zasilaniem sieciowym AC. Możliwość włączenia, wyłączenia oraz restartu serwera. Możliwość interakcji z systemem operacyjnym zainstalowanym na serwerze równoważny z pracą za pomocą podłączonego monitora, klawiatury oraz myszy (IP-KVM) wraz z przekazywaniem wybranego urządzenia pamięci masowej USB między komputerem zarządzającym a serwerem zarządzanym. Zapewniona funkcjonalność raportowania poprzez mechanizm SYSLOG oraz powiadomienia e-mail. Możliwość wygenerowania dzienników diagnostycznych w formacie kompatybilnym z systemem diagnostycznym producenta, umożliwiającym zdalną diagnostykę przebiegu pracy serwera oraz komponentów które uległy awarii. Raportowanie kompletnego wyposażenia sprzętowego wraz z określeniem poprawności pracy komponentu. Autoryzacja dostępu do interfejsu zarządzania za pomocą tworzonych użytkowników wraz z określeniem poziomu dostępu do elementów interfejsu diagnostycznego. Funkcjonalność wykonywania aktualizacji oprogramowania sprzętowego komponentów serwera a także aktualizacji oprogramowania oraz sterowników na poziomie zainstalowanego systemu operacyjnego poprzez oprogramowanie realizujące synchronizację komunikacji pomiędzy układem zarządzania a systemem operacyjnym w celu dokonania aktualizacji;</w:t>
      </w:r>
    </w:p>
    <w:p w14:paraId="7D15244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Diagnostyka serwera w czasie rzeczywistym: realizowana co najmniej za pomocą protokołów SNMP w wersji minimum SNMPv2. Protokół SNMP przekazujący do systemu monitorowania co najmniej następujące parametry:</w:t>
      </w:r>
    </w:p>
    <w:p w14:paraId="2F1E719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Stan interfejsów sieciowych – podłączony, odłączony wraz z aktualną przepustowością;</w:t>
      </w:r>
    </w:p>
    <w:p w14:paraId="3DF8A2F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Obsadzenie slotów pamięci operacyjnej RAM wraz z stanem działania;</w:t>
      </w:r>
    </w:p>
    <w:p w14:paraId="0690DA4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Stan działania wentylatorów;</w:t>
      </w:r>
    </w:p>
    <w:p w14:paraId="7E1211D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Informacja o temperaturze serwera w różnych obszarach wnętrza oraz temperaturą otoczenia (Ambient);</w:t>
      </w:r>
    </w:p>
    <w:p w14:paraId="1642FBE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Stan obsadzenia dyskami twardymi wraz z stanem pracy – poprawny, awaria;</w:t>
      </w:r>
    </w:p>
    <w:p w14:paraId="22C5EF56"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Licencje programowe dostarczone z serwerem:</w:t>
      </w:r>
    </w:p>
    <w:p w14:paraId="1E7B6EBE"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lang w:val="en-GB"/>
          <w14:ligatures w14:val="standardContextual"/>
        </w:rPr>
      </w:pPr>
      <w:r w:rsidRPr="00E660B0">
        <w:rPr>
          <w:rFonts w:ascii="Tahoma" w:eastAsia="Calibri" w:hAnsi="Tahoma" w:cs="Tahoma"/>
          <w:kern w:val="2"/>
          <w:lang w:val="en-GB"/>
          <w14:ligatures w14:val="standardContextual"/>
        </w:rPr>
        <w:t>Microsoft Windows Server 2025 Standard Device CAL dla 50 urządzeń;</w:t>
      </w:r>
    </w:p>
    <w:p w14:paraId="005420D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Licencja wirtualizacji Proxmox VE dla jednostki jednoprocesorowej z aktualizacjami repozytorium Enterprise na minimum 24 miesiące;</w:t>
      </w:r>
    </w:p>
    <w:p w14:paraId="367D1D05"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Wsparcie serwisowe, aktualizacje:</w:t>
      </w:r>
      <w:r w:rsidRPr="00E660B0">
        <w:rPr>
          <w:rFonts w:ascii="Tahoma" w:eastAsia="Calibri" w:hAnsi="Tahoma" w:cs="Tahoma"/>
          <w:kern w:val="2"/>
          <w14:ligatures w14:val="standardContextual"/>
        </w:rPr>
        <w:t xml:space="preserve"> producent zapewnia stronę internetową dedykowaną dla serwera z filtrowaniem do numeru seryjnego urządzenia na której zawarte są aktualizację dla komponentów sprzętowych oraz programowych zgodnych z wyposażeniem serwera. Ponad to producent dystrybuuje aktualizacje zbiorcze w postaci pakietów serwisowych które uruchamiane są z poziomu systemu operacyjnej lub w trybie offline poprzez rozruch serwera z obrazu ISO załadowanego lokalnie lub zdalnie. Pakiety serwisowe zapewniają aktualizację sterowników, oprogramowania oraz pakietów oprogramowania sprzętowego (firmware) w przypadku uruchomienia pakietu w systemie operacyjnym lub aktualizacje oprogramowania sprzętowego (firmware) w przypadku uruchomienia pakietu serwisowego w trybie offline tzn. z nośnika ISO/USB;</w:t>
      </w:r>
    </w:p>
    <w:p w14:paraId="78CF09C7" w14:textId="77777777" w:rsidR="0075321E" w:rsidRPr="00E660B0" w:rsidRDefault="0075321E" w:rsidP="0075321E">
      <w:pPr>
        <w:numPr>
          <w:ilvl w:val="1"/>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b/>
          <w:bCs/>
          <w:kern w:val="2"/>
          <w14:ligatures w14:val="standardContextual"/>
        </w:rPr>
        <w:t xml:space="preserve">Gwarancja producenta: </w:t>
      </w:r>
      <w:r w:rsidRPr="00E660B0">
        <w:rPr>
          <w:rFonts w:ascii="Tahoma" w:eastAsia="Calibri" w:hAnsi="Tahoma" w:cs="Tahoma"/>
          <w:kern w:val="2"/>
          <w14:ligatures w14:val="standardContextual"/>
        </w:rPr>
        <w:t xml:space="preserve">Gwarancja producenta na okres 36 miesięcy z możliwością przedłużania pakietami serwisowymi producenta do minimum 7 lat obejmująca wszystkie zainstalowane komponenty serwera (w tym dyski twarde </w:t>
      </w:r>
      <w:r w:rsidRPr="00E660B0">
        <w:rPr>
          <w:rFonts w:ascii="Tahoma" w:eastAsia="Calibri" w:hAnsi="Tahoma" w:cs="Tahoma"/>
          <w:kern w:val="2"/>
          <w14:ligatures w14:val="standardContextual"/>
        </w:rPr>
        <w:lastRenderedPageBreak/>
        <w:t>oraz karty sieciowe) w całym okresie trwania gwarancji. W ramach usług gwarancyjnych producent serwera zapewnia:</w:t>
      </w:r>
    </w:p>
    <w:p w14:paraId="39B7120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Dostęp telefoniczny do ekspertów;</w:t>
      </w:r>
    </w:p>
    <w:p w14:paraId="3F3B5E6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Czat z ekspertami na żywo;</w:t>
      </w:r>
    </w:p>
    <w:p w14:paraId="63A1504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Całodobowy dostęp do funkcji samoobsługi i samodzielnego rozwiązywania problemów online;</w:t>
      </w:r>
    </w:p>
    <w:p w14:paraId="3E92DE0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Całodobowe rejestrowanie zdarzeń;</w:t>
      </w:r>
    </w:p>
    <w:p w14:paraId="235DCCD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Zdalna diagnoza problemu i wsparcie;</w:t>
      </w:r>
    </w:p>
    <w:p w14:paraId="60889425"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dla sprzętu w miejscu instalacji;</w:t>
      </w:r>
    </w:p>
    <w:p w14:paraId="72A83E2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Przesyłanie dzienników diagnostycznych w ramach prowadzonej sprawy dotyczącej usterki;</w:t>
      </w:r>
    </w:p>
    <w:p w14:paraId="3B667CBF"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Części zamienne i materiały;</w:t>
      </w:r>
    </w:p>
    <w:p w14:paraId="65CC85F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2-godzinny czas reakcji na zgłoszenie w godzinach od 9:00 do 17:00 w dni robocze;</w:t>
      </w:r>
    </w:p>
    <w:p w14:paraId="723C927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Przybycie na miejsce w celu dokonania naprawy przez autoryzowanego przedstawiciela serwisu producenta w następnym dniu roboczym w przypadku dostępności części w magazynie serwisu producenta;</w:t>
      </w:r>
    </w:p>
    <w:p w14:paraId="18CB1C5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 uzasadnionych przypadkach, możliwa wysyłka części z magazynu producenta w celu dokonania naprawy samodzielnej przez klienta;</w:t>
      </w:r>
    </w:p>
    <w:p w14:paraId="430A47D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rozbudowy gwarancji podstawowej do wyższych poziomów zapewniających wsparcie serwisu 24 godziny na dobę, 7 dni w tygodniu z czasami reakcji serwisu z naprawą poniżej 24 godzin;</w:t>
      </w:r>
    </w:p>
    <w:p w14:paraId="7C72B29B"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usługowy:</w:t>
      </w:r>
    </w:p>
    <w:p w14:paraId="573AEAA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Instalacja serwera w wyznaczonym miejscu szafy dystrybucyjnej RACK 19”;</w:t>
      </w:r>
    </w:p>
    <w:p w14:paraId="0A48FCB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Obsadzenie serwera w wszystkie niezbędne komponenty – dyski twarde, pamięci operacyjne, karty sieciowe itp.;</w:t>
      </w:r>
    </w:p>
    <w:p w14:paraId="2D1479A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Podłączenie serwera do wskazanych interfejsów zasilania zasilaczy awaryjnych UPS;</w:t>
      </w:r>
    </w:p>
    <w:p w14:paraId="058B24A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Instalacja rozwiązania wirtualizacji Proxmox VE z aktywacją licencji;</w:t>
      </w:r>
    </w:p>
    <w:p w14:paraId="460ADF1B"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Konfiguracja interfejsów sieciowych z agregacją połączenia w trybie failover oraz segmentacją sieci VLAN 802.1q w adresacjach wskazanych przez informatyka Urzędu;</w:t>
      </w:r>
    </w:p>
    <w:p w14:paraId="2A1DFBFB" w14:textId="77777777" w:rsidR="0075321E" w:rsidRPr="00E660B0" w:rsidRDefault="0075321E" w:rsidP="0075321E">
      <w:pPr>
        <w:spacing w:after="160" w:line="259" w:lineRule="auto"/>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br w:type="page"/>
      </w:r>
    </w:p>
    <w:p w14:paraId="5B58989C" w14:textId="77777777" w:rsidR="0075321E" w:rsidRPr="00E660B0" w:rsidRDefault="0075321E" w:rsidP="0075321E">
      <w:pPr>
        <w:numPr>
          <w:ilvl w:val="0"/>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lastRenderedPageBreak/>
        <w:t>Aktywny skaner podatności</w:t>
      </w:r>
    </w:p>
    <w:p w14:paraId="70E37D00"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Zarys funkcjonalny:</w:t>
      </w:r>
    </w:p>
    <w:p w14:paraId="623F4B2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Moduł skanowania w sieci TCP/IP realizowany za pomocą sondy dystrybuowanej jako maszyna wirtualna. Skanowanie wskazanych adresów IP lub nazw domenowych w sieci wewnętrznej polegający na wykrywaniu usług sieciowych publikowanych przez dany adres IP oraz próba identyfikacji występujących podatności w tychże usługach. W zależności od typu skanowanej usługi oraz zastosowanego protokołu pobierane są informacje m.in. o wersji zastosowanego oprogramowania (np. w przypadku serwisów wbudowanych WEB urządzeń typu IoT) oraz identyfikowane w ten sposób możliwe podatności zidentyfikowane w bazie CVE (Common Vulnerabilities and Exposures);</w:t>
      </w:r>
    </w:p>
    <w:p w14:paraId="3133159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Moduł skanowania oraz analizy platform WEB: skanowanie wskazanych nazw serwisów WWW polegający na analizie publikowanych usług, określaniu ich wersji oraz potencjalnych lub bezpieczeństwa wynikających z zastosowanej wersji serwera web-owego, silnika bazodanowego itp. mechanizmów komponujących serwis webowy;</w:t>
      </w:r>
    </w:p>
    <w:p w14:paraId="0FCF6C4A"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Testy penetracyjne świadomości (awarness) oraz wyłudzeń (phishing): moduł polegający na zautomatyzowanym przesyłaniu do wybranej grupy użytkowników wiadomości spreparowanych w taki sposób aby skłaniały użytkownika do podjęcia określonych działań lub kliknięcia w wskazane LINK-i w wiadomości e-mail. Moduł ma polegać na tworzenia szablonu oraz grupy dystrybucyjnych do których kierowane są treści potencjalnie w ich obszarze zainteresowania i pracy, próbujące wymusić określone, niepożądane zachowania. Moduł ma za zadanie trenować oraz weryfikować stan wiedzy użytkowników końcowych tym samym wskazywać potencjalne punkty na które należy zwrócić większa uwagę podczas szkoleń z zakresu cyberbezpieczeństwa dla użytkowników końcowych;</w:t>
      </w:r>
    </w:p>
    <w:p w14:paraId="237A1C17"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Zarządzanie podatnościami:</w:t>
      </w:r>
    </w:p>
    <w:p w14:paraId="1E94639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zarządzania podatnościami musi być w stanie zapewnić funkcje pulpitu nawigacyjnego (i konfigurowalne) z następującymi widżetami:</w:t>
      </w:r>
    </w:p>
    <w:p w14:paraId="3DBD6B6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Wyniki skanowania podatności sieci według ważności (z opcjami wykresu: słupkowy i kołowy);</w:t>
      </w:r>
    </w:p>
    <w:p w14:paraId="26CE163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Wyniki skanowania podatności aplikacji internetowych według ważności (z opcjami wykresu: słupkowy i kołowy);</w:t>
      </w:r>
    </w:p>
    <w:p w14:paraId="4B367CD1"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Otwarte zgłoszenia według ważności (z opcjami wykresu: słupkowy i kołowy);</w:t>
      </w:r>
    </w:p>
    <w:p w14:paraId="045F330C"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Top 10 wyników skanowania sieci (dostępna opcja ustawienia celu zasobu jako wszystkich lub wybranych adresów IP/tagów);</w:t>
      </w:r>
    </w:p>
    <w:p w14:paraId="5336140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10 największych podatności w aplikacjach sieciowych (dostępna opcja ustawienia celu zasobu jako wszystkie lub wybrane aplikacje sieciowe/etykiety);</w:t>
      </w:r>
    </w:p>
    <w:p w14:paraId="5CAAFAA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Zgodność z OWASP (z opcjami wykresów: słupkowy i kołowy oraz dostępną opcją ustawienia dla wszystkich lub wybranych aplikacji internetowych);</w:t>
      </w:r>
    </w:p>
    <w:p w14:paraId="265EB5A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Ostatnie skanowania;</w:t>
      </w:r>
    </w:p>
    <w:p w14:paraId="1A6BB17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Nadchodzące skanowania;</w:t>
      </w:r>
    </w:p>
    <w:p w14:paraId="30840E5A"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Ostatnie 10 raportów;</w:t>
      </w:r>
    </w:p>
    <w:p w14:paraId="552770A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Liczba podatności w zabezpieczeniach w czasie (dostępna opcja ustawienia celu zasobu jako wszystkich lub wybranych aplikacji IPS/web/tagów wraz z ustawieniem czasu, aby ustawić czas trwania i interwał);</w:t>
      </w:r>
    </w:p>
    <w:p w14:paraId="6519AE5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Ocena wyników kampanii phishingowych;</w:t>
      </w:r>
    </w:p>
    <w:p w14:paraId="2541A96E"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Ciągłe monitorowanie alertów (dostępna opcja ustawienia okresu na dzień/tydzień;</w:t>
      </w:r>
    </w:p>
    <w:p w14:paraId="630D9D6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zarządzania podatnościami musi mieć możliwość sortowania, grupowania i priorytetyzacji podatności:</w:t>
      </w:r>
    </w:p>
    <w:p w14:paraId="1C5D4ED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tworzenia wielu zakładek w celu filtrowania następujących kryteriów:</w:t>
      </w:r>
    </w:p>
    <w:p w14:paraId="42A66BB1"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stanu: wszystkie, nie ignorowane/wyłączone i ignorowane/wyłączone;</w:t>
      </w:r>
    </w:p>
    <w:p w14:paraId="057E3A20"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typu: host i aplikacja internetowa;</w:t>
      </w:r>
    </w:p>
    <w:p w14:paraId="5688826A"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statusu: nowy, aktywny, ponownie otwarty, naprawiony;</w:t>
      </w:r>
    </w:p>
    <w:p w14:paraId="4DFFFD77"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ważności: informacja, niski, średni, wysoki, krytyczny;</w:t>
      </w:r>
    </w:p>
    <w:p w14:paraId="70AB99B7"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tagów (opcja uwzględnienia/wykluczenia tagu);</w:t>
      </w:r>
    </w:p>
    <w:p w14:paraId="0234F95F"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pierwszego i ostatniego wykrycia;</w:t>
      </w:r>
    </w:p>
    <w:p w14:paraId="454F569A"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Według kategorii: podatności w skanowaniu sieci i podatności w aplikacjach internetowych;</w:t>
      </w:r>
    </w:p>
    <w:p w14:paraId="0FBA286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filtrowania listy podatności według podatności lub aplikacji internetowych/hosta;</w:t>
      </w:r>
    </w:p>
    <w:p w14:paraId="73AD4C8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tworzenia raportów bezpośrednio z menedżera podatności poprzez wybranie jednej lub więcej podatności;</w:t>
      </w:r>
    </w:p>
    <w:p w14:paraId="5A5D2DE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dalszego administrowania/zarządzania listą luk w zabezpieczeniach za pomocą następujących funkcji:</w:t>
      </w:r>
    </w:p>
    <w:p w14:paraId="43B701E9"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Co ignorować: wyłącz tę podatność dla wszystkich hostów/aplikacji internetowych i ignoruj tę podatność;</w:t>
      </w:r>
    </w:p>
    <w:p w14:paraId="5ED11F4F"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Powód ignorowania: fałszywie dodatni, ryzyko zaakceptowane, nieistotny;</w:t>
      </w:r>
    </w:p>
    <w:p w14:paraId="17AB0779"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Opcja ustawienia czasu wygaśnięcia dla ignorowanych podatności;</w:t>
      </w:r>
    </w:p>
    <w:p w14:paraId="174A646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tworzenia notatek do celów uwag i notatek, które pojawią się w raporcie po jego wygenerowaniu;</w:t>
      </w:r>
    </w:p>
    <w:p w14:paraId="1BFAAD25"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Opcja wyświetlania następujących informacji na temat podatności:</w:t>
      </w:r>
    </w:p>
    <w:p w14:paraId="7AD1233A"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Wpływ;</w:t>
      </w:r>
    </w:p>
    <w:p w14:paraId="44417084"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Rozwiązanie;</w:t>
      </w:r>
    </w:p>
    <w:p w14:paraId="1D8648F4"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Podsumowanie;</w:t>
      </w:r>
    </w:p>
    <w:p w14:paraId="43A979AE"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Wgląd;</w:t>
      </w:r>
    </w:p>
    <w:p w14:paraId="57ADD529"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Wykrywanie;</w:t>
      </w:r>
    </w:p>
    <w:p w14:paraId="42D774A4"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Odniesienie;</w:t>
      </w:r>
    </w:p>
    <w:p w14:paraId="5EA27CE3"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Łatki;</w:t>
      </w:r>
    </w:p>
    <w:p w14:paraId="1A9DEAFB"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Środki zaradcze;</w:t>
      </w:r>
    </w:p>
    <w:p w14:paraId="374C62D8"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zawiera wbudowany system ticketowy dla procesu naprawczego.</w:t>
      </w:r>
    </w:p>
    <w:p w14:paraId="0878D32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zapewnia możliwość dostarczania informacji o zgłoszeniach takich jak:</w:t>
      </w:r>
    </w:p>
    <w:p w14:paraId="1E4890F3"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Numerowanie ich w celu łatwego śledzenia i powiadamiania za pośrednictwem poczty elektronicznej;</w:t>
      </w:r>
    </w:p>
    <w:p w14:paraId="60ED8CB2"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Możliwość podawania i aktualizowania statusu zgłoszenia, takiego jak: otwarte, zamknięte lub rozwiązane;</w:t>
      </w:r>
    </w:p>
    <w:p w14:paraId="143B8160"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podania nazwy powiązanej podatności w zabezpieczeniach wraz z jej zasobami</w:t>
      </w:r>
    </w:p>
    <w:p w14:paraId="49DF0B41"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podania wagi podatności w zabezpieczeniach zarejestrowanego zgłoszenia</w:t>
      </w:r>
    </w:p>
    <w:p w14:paraId="0CBF8C1E"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przypisania do wyznaczonego właściciela i terminu</w:t>
      </w:r>
    </w:p>
    <w:p w14:paraId="2B6F03A9"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tworzenia wielu zakładek do utrzymywania i zarządzania zgłoszeniami zgodnie z poniższymi zasadami:</w:t>
      </w:r>
    </w:p>
    <w:p w14:paraId="5CEC3D0A"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Status;</w:t>
      </w:r>
    </w:p>
    <w:p w14:paraId="6DEE8FE2"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Typ zasobu;</w:t>
      </w:r>
    </w:p>
    <w:p w14:paraId="7412B67A"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Kategoria usługi;</w:t>
      </w:r>
    </w:p>
    <w:p w14:paraId="0CEF5D63"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Tagi;</w:t>
      </w:r>
    </w:p>
    <w:p w14:paraId="55DE4434"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Termin;</w:t>
      </w:r>
    </w:p>
    <w:p w14:paraId="4AEB634B"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Kategoria skanowania sieci i aplikacji internetowych;</w:t>
      </w:r>
    </w:p>
    <w:p w14:paraId="434D1D5F"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Istotność;</w:t>
      </w:r>
    </w:p>
    <w:p w14:paraId="006C9949"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System operacyjny;</w:t>
      </w:r>
    </w:p>
    <w:p w14:paraId="61413BD7"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Porty;</w:t>
      </w:r>
    </w:p>
    <w:p w14:paraId="1EA19B66"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Możliwość zapewnienia proaktywnej obsługi zgłoszeń;</w:t>
      </w:r>
    </w:p>
    <w:p w14:paraId="38D3536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Platforma musi zapewniać możliwość uruchomienia ciągłego monitorowania oraz ustawiania profili monitorowania zmian za pomocą powiadomień i alarmów;</w:t>
      </w:r>
    </w:p>
    <w:p w14:paraId="1E33448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Menadżer podatności  musi zapewniać możliwość utworzenia własnych widoków podatności zapewniających odfiltrowane rekordy zgodnie z konfiguracją użytkownika;</w:t>
      </w:r>
    </w:p>
    <w:p w14:paraId="2FD7B12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Menadżer podatności musi zapewniać funkcję ignorowania wykrytych podatności wg zadanego okresu czasowego;</w:t>
      </w:r>
    </w:p>
    <w:p w14:paraId="00B4DA8D"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System raportujący:</w:t>
      </w:r>
    </w:p>
    <w:p w14:paraId="35310679"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Skanowanie sieci - raport;</w:t>
      </w:r>
    </w:p>
    <w:p w14:paraId="34D2331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Aplikacje sieciowe - raport;</w:t>
      </w:r>
    </w:p>
    <w:p w14:paraId="7EFEC43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Aktualizacje / łatki / poprawki - raport;</w:t>
      </w:r>
    </w:p>
    <w:p w14:paraId="0EBB80A4"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Środki zaradcze - raport;</w:t>
      </w:r>
    </w:p>
    <w:p w14:paraId="4A42C40E"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lang w:val="en-GB"/>
          <w14:ligatures w14:val="standardContextual"/>
        </w:rPr>
      </w:pPr>
      <w:r w:rsidRPr="00E660B0">
        <w:rPr>
          <w:rFonts w:ascii="Tahoma" w:eastAsia="Calibri" w:hAnsi="Tahoma" w:cs="Tahoma"/>
          <w:kern w:val="2"/>
          <w:lang w:val="en-GB"/>
          <w14:ligatures w14:val="standardContextual"/>
        </w:rPr>
        <w:t>Ocena phisingu e-mail - raport;</w:t>
      </w:r>
    </w:p>
    <w:p w14:paraId="7E683AE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Porównanie raportów;</w:t>
      </w:r>
    </w:p>
    <w:p w14:paraId="7FA9A13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Raporty zgodności wg następujących kryteriów;</w:t>
      </w:r>
    </w:p>
    <w:p w14:paraId="299B86D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OWASP Top 10;</w:t>
      </w:r>
    </w:p>
    <w:p w14:paraId="4E90AC50"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ISO/IEC 27001;</w:t>
      </w:r>
    </w:p>
    <w:p w14:paraId="1F2F5A79"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Ogólne rozporządzenie o ochronie danych;</w:t>
      </w:r>
    </w:p>
    <w:p w14:paraId="76AE8C8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Bezpieczeństwo sieci i informacji;</w:t>
      </w:r>
    </w:p>
    <w:p w14:paraId="2151F63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Ustawa o ochronie danych osobowych;</w:t>
      </w:r>
    </w:p>
    <w:p w14:paraId="605EF6BD"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System powinien mieć możliwość importu nowych typów raportów w ramach udostępniania ich przez producenta;</w:t>
      </w:r>
    </w:p>
    <w:p w14:paraId="362CA64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System powinien mieć możliwość tworzenia i dostosowywania raportów na podstawie następujących kryteriów:</w:t>
      </w:r>
    </w:p>
    <w:p w14:paraId="69F49231"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Raport oparty na określonym czasie skanowania;</w:t>
      </w:r>
    </w:p>
    <w:p w14:paraId="669940CF"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Raport oparty na wszystkich bieżących informacjach o podatnościach;</w:t>
      </w:r>
    </w:p>
    <w:p w14:paraId="20582B5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Raport trendów z historią podatności;</w:t>
      </w:r>
    </w:p>
    <w:p w14:paraId="7182FF18"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Zzawartość raportu: szczegóły raportu, przegląd podatności, podsumowanie podatności, lista podatności (według podatności i hosta) z opcjami wglądu, podsumowania, wykrywania, odniesień i ograniczenia tekstu;</w:t>
      </w:r>
    </w:p>
    <w:p w14:paraId="498123CB"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Sposób prezentacji raportu: podatności według ważności w czasie, podatności według statusu, podatności według ważności, 5 najbardziej narażonych kategorii;</w:t>
      </w:r>
    </w:p>
    <w:p w14:paraId="7A47081F"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filtrowanie: selektywne raportowanie podatności (pełne i niestandardowe) i wykluczenia, uwzględnione systemy operacyjne, filtry zasobów, filtry podatności;</w:t>
      </w:r>
    </w:p>
    <w:p w14:paraId="120F8440"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Funkcjonalność tworzenia raportów skróconych posiadających formę podsumowania o określonym interwale powiadomień np. tygodniowe, miesięczne poprzez wysyłkę e-mail na określony adres;</w:t>
      </w:r>
    </w:p>
    <w:p w14:paraId="78514FCE"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Licencjonowanie:</w:t>
      </w:r>
    </w:p>
    <w:p w14:paraId="626F99C1"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Czas trwania licencji: 24 miesiące;</w:t>
      </w:r>
    </w:p>
    <w:p w14:paraId="6E6A6E2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Zakres licencjonowania:</w:t>
      </w:r>
    </w:p>
    <w:p w14:paraId="040FF336"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Moduł skanowania w sieci TCP/IP: </w:t>
      </w:r>
    </w:p>
    <w:p w14:paraId="72F1FE9C"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40 stanowisk IP - urządzeń końcowych (switche, routery, punkty WiFi, urządzenia IoT oraz inne urządzenia IP) skanowane w warstwie protokołów sieciowych (m.in. TCP/IP, ICMP itd.);</w:t>
      </w:r>
    </w:p>
    <w:p w14:paraId="48C19604"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Moduł skanowania oraz analizy platform WEB: </w:t>
      </w:r>
    </w:p>
    <w:p w14:paraId="45A4EE4C"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3 licencje skanowania aplikacji typu WEB (strony Internetowe) pod kątem wykrywania podatności w zastosowanych rozwiązaniach informatycznych (np. serwer WEB, bazy MsSQL / MariaDB itp.);</w:t>
      </w:r>
    </w:p>
    <w:p w14:paraId="6356A117" w14:textId="77777777" w:rsidR="0075321E" w:rsidRPr="00E660B0" w:rsidRDefault="0075321E" w:rsidP="0075321E">
      <w:pPr>
        <w:numPr>
          <w:ilvl w:val="3"/>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Testy penetracyjne świadomości (awarness) oraz wyłudzeń (phishing):</w:t>
      </w:r>
    </w:p>
    <w:p w14:paraId="0D6ED423" w14:textId="77777777" w:rsidR="0075321E" w:rsidRPr="00E660B0" w:rsidRDefault="0075321E" w:rsidP="0075321E">
      <w:pPr>
        <w:numPr>
          <w:ilvl w:val="4"/>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30 stanowiska pracownicze podlegające testom socjotechnicznym, testom phishingowy, świadomości w przestrzeni informatycznej wobec których będą realizowane zautomatyzowane ataki sprawdzające poziom kompetencji;</w:t>
      </w:r>
    </w:p>
    <w:p w14:paraId="6FCD01F4"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Wsparcie techniczne:</w:t>
      </w:r>
    </w:p>
    <w:p w14:paraId="26D0D32C"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Wykonawca zapewnia wsparcie technicznie przez cały okres licencjonowania w dni robocze w godzinach od 8:00 do 16:00 w zakresie wyjaśnień dotyczących funkcjonalności systemu, wsparcia w jego konfiguracji oraz realizacji zgłoszonych usterek technicznych bez ograniczenia liczby zgłoszeń oraz czasu realizacji;</w:t>
      </w:r>
    </w:p>
    <w:p w14:paraId="3441F742"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Wsparcie polega na analizie w siedzibie Zamawiającego lub za pomocą udostępnionego przez informatyka Urzędu kanału zdalnego zgłoszonego problemu technicznego;</w:t>
      </w:r>
    </w:p>
    <w:p w14:paraId="61B76243"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Czas reakcji od przyjęcia zgłoszenia do fizycznego rozpoczęcia prac w konsultacji </w:t>
      </w:r>
      <w:r w:rsidRPr="00E660B0">
        <w:rPr>
          <w:rFonts w:ascii="Tahoma" w:eastAsia="Calibri" w:hAnsi="Tahoma" w:cs="Tahoma"/>
          <w:kern w:val="2"/>
          <w14:ligatures w14:val="standardContextual"/>
        </w:rPr>
        <w:br/>
        <w:t>z informatykiem Urzędu nie może przekraczać 24 godzin;</w:t>
      </w:r>
    </w:p>
    <w:p w14:paraId="53418286"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t xml:space="preserve">Jeżeli rozwiązanie problemu technicznego nie może zostać zrealizowane </w:t>
      </w:r>
      <w:r w:rsidRPr="00E660B0">
        <w:rPr>
          <w:rFonts w:ascii="Tahoma" w:eastAsia="Calibri" w:hAnsi="Tahoma" w:cs="Tahoma"/>
          <w:kern w:val="2"/>
          <w14:ligatures w14:val="standardContextual"/>
        </w:rPr>
        <w:br/>
        <w:t>w przeciągu 24 godzin od zgłoszenia usterki, wymagane jest powiadomienie informatyka Urzędu o charakterze usterki, podjętych w międzyczasie pracach wraz z uzasadnieniem;</w:t>
      </w:r>
    </w:p>
    <w:p w14:paraId="133934E3" w14:textId="77777777" w:rsidR="0075321E" w:rsidRPr="00E660B0" w:rsidRDefault="0075321E" w:rsidP="0075321E">
      <w:pPr>
        <w:numPr>
          <w:ilvl w:val="1"/>
          <w:numId w:val="17"/>
        </w:numPr>
        <w:spacing w:after="160" w:line="259" w:lineRule="auto"/>
        <w:contextualSpacing/>
        <w:jc w:val="both"/>
        <w:rPr>
          <w:rFonts w:ascii="Tahoma" w:eastAsia="Calibri" w:hAnsi="Tahoma" w:cs="Tahoma"/>
          <w:b/>
          <w:bCs/>
          <w:kern w:val="2"/>
          <w14:ligatures w14:val="standardContextual"/>
        </w:rPr>
      </w:pPr>
      <w:r w:rsidRPr="00E660B0">
        <w:rPr>
          <w:rFonts w:ascii="Tahoma" w:eastAsia="Calibri" w:hAnsi="Tahoma" w:cs="Tahoma"/>
          <w:b/>
          <w:bCs/>
          <w:kern w:val="2"/>
          <w14:ligatures w14:val="standardContextual"/>
        </w:rPr>
        <w:t>Zakres usługowy:</w:t>
      </w:r>
    </w:p>
    <w:p w14:paraId="14AE92A7" w14:textId="77777777" w:rsidR="0075321E" w:rsidRPr="00E660B0" w:rsidRDefault="0075321E" w:rsidP="0075321E">
      <w:pPr>
        <w:numPr>
          <w:ilvl w:val="2"/>
          <w:numId w:val="17"/>
        </w:numPr>
        <w:spacing w:after="160" w:line="259" w:lineRule="auto"/>
        <w:contextualSpacing/>
        <w:jc w:val="both"/>
        <w:rPr>
          <w:rFonts w:ascii="Tahoma" w:eastAsia="Calibri" w:hAnsi="Tahoma" w:cs="Tahoma"/>
          <w:kern w:val="2"/>
          <w14:ligatures w14:val="standardContextual"/>
        </w:rPr>
      </w:pPr>
      <w:r w:rsidRPr="00E660B0">
        <w:rPr>
          <w:rFonts w:ascii="Tahoma" w:eastAsia="Calibri" w:hAnsi="Tahoma" w:cs="Tahoma"/>
          <w:kern w:val="2"/>
          <w14:ligatures w14:val="standardContextual"/>
        </w:rPr>
        <w:lastRenderedPageBreak/>
        <w:t>Wykonawca instaluje oprogramowanie na dedykowanej maszynie wirtualnej nie wymagającej dodatkowego licencjonowania (płatnego systemu operacyjnego) oraz po uruchomieniu modułów monitorowania dostępnych w dostarczonym oprogramowaniu, dokonuje przeszkolenia informatyka jednostki w zakresie obsługi oraz analizy rejestrowanych danych;</w:t>
      </w:r>
    </w:p>
    <w:p w14:paraId="083CCE43" w14:textId="77777777" w:rsidR="0075321E" w:rsidRPr="00E660B0" w:rsidRDefault="0075321E" w:rsidP="0075321E">
      <w:pPr>
        <w:spacing w:after="160" w:line="259" w:lineRule="auto"/>
        <w:jc w:val="both"/>
        <w:rPr>
          <w:rFonts w:ascii="Tahoma" w:eastAsia="Calibri" w:hAnsi="Tahoma" w:cs="Tahoma"/>
          <w:kern w:val="2"/>
          <w14:ligatures w14:val="standardContextual"/>
        </w:rPr>
      </w:pPr>
    </w:p>
    <w:p w14:paraId="527A8473" w14:textId="5D6114CF" w:rsidR="00AB7C79" w:rsidRPr="00E660B0" w:rsidRDefault="00AB7C79" w:rsidP="003236B7">
      <w:pPr>
        <w:spacing w:line="240" w:lineRule="auto"/>
        <w:jc w:val="both"/>
        <w:rPr>
          <w:rFonts w:ascii="Tahoma" w:hAnsi="Tahoma" w:cs="Tahoma"/>
        </w:rPr>
      </w:pPr>
    </w:p>
    <w:sectPr w:rsidR="00AB7C79" w:rsidRPr="00E660B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0516" w14:textId="77777777" w:rsidR="00AD36A9" w:rsidRDefault="00AD36A9" w:rsidP="0013343A">
      <w:pPr>
        <w:spacing w:after="0" w:line="240" w:lineRule="auto"/>
      </w:pPr>
      <w:r>
        <w:separator/>
      </w:r>
    </w:p>
  </w:endnote>
  <w:endnote w:type="continuationSeparator" w:id="0">
    <w:p w14:paraId="35BDB238" w14:textId="77777777" w:rsidR="00AD36A9" w:rsidRDefault="00AD36A9" w:rsidP="00133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75FC" w14:textId="77777777" w:rsidR="00AD36A9" w:rsidRDefault="00AD36A9" w:rsidP="0013343A">
      <w:pPr>
        <w:spacing w:after="0" w:line="240" w:lineRule="auto"/>
      </w:pPr>
      <w:r>
        <w:separator/>
      </w:r>
    </w:p>
  </w:footnote>
  <w:footnote w:type="continuationSeparator" w:id="0">
    <w:p w14:paraId="4D77CED1" w14:textId="77777777" w:rsidR="00AD36A9" w:rsidRDefault="00AD36A9" w:rsidP="00133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2DBE" w14:textId="6C74BB4A" w:rsidR="003236B7" w:rsidRDefault="00780FEF">
    <w:pPr>
      <w:pStyle w:val="Nagwek"/>
    </w:pPr>
    <w:r>
      <w:rPr>
        <w:noProof/>
        <w:lang w:eastAsia="pl-PL"/>
      </w:rPr>
      <w:drawing>
        <wp:inline distT="0" distB="0" distL="0" distR="0" wp14:anchorId="1021AA38" wp14:editId="46EC25D8">
          <wp:extent cx="6127115" cy="633730"/>
          <wp:effectExtent l="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7115" cy="6337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10AEC"/>
    <w:multiLevelType w:val="hybridMultilevel"/>
    <w:tmpl w:val="2E5618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545224"/>
    <w:multiLevelType w:val="hybridMultilevel"/>
    <w:tmpl w:val="EA9C2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CCC0449"/>
    <w:multiLevelType w:val="hybridMultilevel"/>
    <w:tmpl w:val="D17627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1018DA"/>
    <w:multiLevelType w:val="hybridMultilevel"/>
    <w:tmpl w:val="9A98649E"/>
    <w:lvl w:ilvl="0" w:tplc="B52C118C">
      <w:start w:val="1"/>
      <w:numFmt w:val="upperRoman"/>
      <w:suff w:val="space"/>
      <w:lvlText w:val="%1."/>
      <w:lvlJc w:val="left"/>
      <w:pPr>
        <w:ind w:left="1080" w:hanging="796"/>
      </w:pPr>
      <w:rPr>
        <w:rFonts w:hint="default"/>
      </w:rPr>
    </w:lvl>
    <w:lvl w:ilvl="1" w:tplc="1C0651AC">
      <w:start w:val="1"/>
      <w:numFmt w:val="lowerLetter"/>
      <w:suff w:val="space"/>
      <w:lvlText w:val="%2."/>
      <w:lvlJc w:val="left"/>
      <w:pPr>
        <w:ind w:left="1440" w:hanging="873"/>
      </w:pPr>
      <w:rPr>
        <w:rFonts w:hint="default"/>
      </w:rPr>
    </w:lvl>
    <w:lvl w:ilvl="2" w:tplc="02722B3E">
      <w:start w:val="1"/>
      <w:numFmt w:val="lowerRoman"/>
      <w:suff w:val="space"/>
      <w:lvlText w:val="%3."/>
      <w:lvlJc w:val="right"/>
      <w:pPr>
        <w:ind w:left="2160" w:hanging="1139"/>
      </w:pPr>
      <w:rPr>
        <w:rFonts w:hint="default"/>
      </w:rPr>
    </w:lvl>
    <w:lvl w:ilvl="3" w:tplc="69FC5972">
      <w:start w:val="1"/>
      <w:numFmt w:val="decimal"/>
      <w:lvlText w:val="%4."/>
      <w:lvlJc w:val="left"/>
      <w:pPr>
        <w:ind w:left="2880" w:hanging="1746"/>
      </w:pPr>
      <w:rPr>
        <w:rFonts w:hint="default"/>
      </w:rPr>
    </w:lvl>
    <w:lvl w:ilvl="4" w:tplc="77FEBC62">
      <w:start w:val="1"/>
      <w:numFmt w:val="lowerLetter"/>
      <w:lvlText w:val="%5."/>
      <w:lvlJc w:val="left"/>
      <w:pPr>
        <w:ind w:left="709" w:firstLine="992"/>
      </w:pPr>
      <w:rPr>
        <w:rFonts w:hint="default"/>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F605BA"/>
    <w:multiLevelType w:val="hybridMultilevel"/>
    <w:tmpl w:val="E1727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2732E9"/>
    <w:multiLevelType w:val="multilevel"/>
    <w:tmpl w:val="9A98649E"/>
    <w:lvl w:ilvl="0">
      <w:start w:val="1"/>
      <w:numFmt w:val="upperRoman"/>
      <w:suff w:val="space"/>
      <w:lvlText w:val="%1."/>
      <w:lvlJc w:val="left"/>
      <w:pPr>
        <w:ind w:left="1080" w:hanging="796"/>
      </w:pPr>
      <w:rPr>
        <w:rFonts w:hint="default"/>
      </w:rPr>
    </w:lvl>
    <w:lvl w:ilvl="1">
      <w:start w:val="1"/>
      <w:numFmt w:val="lowerLetter"/>
      <w:suff w:val="space"/>
      <w:lvlText w:val="%2."/>
      <w:lvlJc w:val="left"/>
      <w:pPr>
        <w:ind w:left="1440" w:hanging="873"/>
      </w:pPr>
      <w:rPr>
        <w:rFonts w:hint="default"/>
      </w:rPr>
    </w:lvl>
    <w:lvl w:ilvl="2">
      <w:start w:val="1"/>
      <w:numFmt w:val="lowerRoman"/>
      <w:suff w:val="space"/>
      <w:lvlText w:val="%3."/>
      <w:lvlJc w:val="right"/>
      <w:pPr>
        <w:ind w:left="2160" w:hanging="1139"/>
      </w:pPr>
      <w:rPr>
        <w:rFonts w:hint="default"/>
      </w:rPr>
    </w:lvl>
    <w:lvl w:ilvl="3">
      <w:start w:val="1"/>
      <w:numFmt w:val="decimal"/>
      <w:lvlText w:val="%4."/>
      <w:lvlJc w:val="left"/>
      <w:pPr>
        <w:ind w:left="2880" w:hanging="1746"/>
      </w:pPr>
      <w:rPr>
        <w:rFonts w:hint="default"/>
      </w:rPr>
    </w:lvl>
    <w:lvl w:ilvl="4">
      <w:start w:val="1"/>
      <w:numFmt w:val="lowerLetter"/>
      <w:lvlText w:val="%5."/>
      <w:lvlJc w:val="left"/>
      <w:pPr>
        <w:ind w:left="709" w:firstLine="992"/>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BD64377"/>
    <w:multiLevelType w:val="hybridMultilevel"/>
    <w:tmpl w:val="F0520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35C5196"/>
    <w:multiLevelType w:val="multilevel"/>
    <w:tmpl w:val="DD04814C"/>
    <w:styleLink w:val="Wlasnepunktory"/>
    <w:lvl w:ilvl="0">
      <w:start w:val="1"/>
      <w:numFmt w:val="upperRoman"/>
      <w:lvlText w:val="%1."/>
      <w:lvlJc w:val="left"/>
      <w:pPr>
        <w:ind w:left="340"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tabs>
          <w:tab w:val="num" w:pos="1304"/>
        </w:tabs>
        <w:ind w:left="1304" w:hanging="57"/>
      </w:pPr>
      <w:rPr>
        <w:rFonts w:hint="default"/>
      </w:rPr>
    </w:lvl>
    <w:lvl w:ilvl="3">
      <w:start w:val="1"/>
      <w:numFmt w:val="decimal"/>
      <w:lvlText w:val="%4."/>
      <w:lvlJc w:val="left"/>
      <w:pPr>
        <w:ind w:left="1758" w:hanging="454"/>
      </w:pPr>
      <w:rPr>
        <w:rFonts w:hint="default"/>
      </w:rPr>
    </w:lvl>
    <w:lvl w:ilvl="4">
      <w:start w:val="1"/>
      <w:numFmt w:val="lowerLetter"/>
      <w:lvlText w:val="%5."/>
      <w:lvlJc w:val="left"/>
      <w:pPr>
        <w:ind w:left="2211" w:hanging="453"/>
      </w:pPr>
      <w:rPr>
        <w:rFonts w:hint="default"/>
      </w:rPr>
    </w:lvl>
    <w:lvl w:ilvl="5">
      <w:start w:val="1"/>
      <w:numFmt w:val="lowerRoman"/>
      <w:lvlText w:val="%6."/>
      <w:lvlJc w:val="right"/>
      <w:pPr>
        <w:ind w:left="2665" w:hanging="170"/>
      </w:pPr>
      <w:rPr>
        <w:rFonts w:hint="default"/>
      </w:rPr>
    </w:lvl>
    <w:lvl w:ilvl="6">
      <w:start w:val="1"/>
      <w:numFmt w:val="decimal"/>
      <w:lvlText w:val="%7."/>
      <w:lvlJc w:val="left"/>
      <w:pPr>
        <w:ind w:left="3062" w:hanging="340"/>
      </w:pPr>
      <w:rPr>
        <w:rFonts w:hint="default"/>
      </w:rPr>
    </w:lvl>
    <w:lvl w:ilvl="7">
      <w:start w:val="1"/>
      <w:numFmt w:val="lowerLetter"/>
      <w:lvlText w:val="%8."/>
      <w:lvlJc w:val="left"/>
      <w:pPr>
        <w:ind w:left="3515" w:hanging="396"/>
      </w:pPr>
      <w:rPr>
        <w:rFonts w:hint="default"/>
      </w:rPr>
    </w:lvl>
    <w:lvl w:ilvl="8">
      <w:start w:val="1"/>
      <w:numFmt w:val="lowerRoman"/>
      <w:lvlText w:val="%9."/>
      <w:lvlJc w:val="left"/>
      <w:pPr>
        <w:ind w:left="3969" w:hanging="340"/>
      </w:pPr>
      <w:rPr>
        <w:rFonts w:hint="default"/>
      </w:rPr>
    </w:lvl>
  </w:abstractNum>
  <w:abstractNum w:abstractNumId="8" w15:restartNumberingAfterBreak="0">
    <w:nsid w:val="469F04A7"/>
    <w:multiLevelType w:val="hybridMultilevel"/>
    <w:tmpl w:val="D56C0A92"/>
    <w:lvl w:ilvl="0" w:tplc="7248B504">
      <w:start w:val="1"/>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46652D"/>
    <w:multiLevelType w:val="multilevel"/>
    <w:tmpl w:val="DD04814C"/>
    <w:numStyleLink w:val="Wlasnepunktory"/>
  </w:abstractNum>
  <w:abstractNum w:abstractNumId="10" w15:restartNumberingAfterBreak="0">
    <w:nsid w:val="55317D9B"/>
    <w:multiLevelType w:val="multilevel"/>
    <w:tmpl w:val="6B646144"/>
    <w:lvl w:ilvl="0">
      <w:start w:val="1"/>
      <w:numFmt w:val="upperRoman"/>
      <w:lvlText w:val="%1."/>
      <w:lvlJc w:val="left"/>
      <w:pPr>
        <w:ind w:left="340" w:hanging="340"/>
      </w:pPr>
      <w:rPr>
        <w:rFonts w:hint="default"/>
        <w:b/>
        <w:bCs/>
        <w:color w:val="auto"/>
      </w:rPr>
    </w:lvl>
    <w:lvl w:ilvl="1">
      <w:start w:val="1"/>
      <w:numFmt w:val="lowerLetter"/>
      <w:lvlText w:val="%2."/>
      <w:lvlJc w:val="left"/>
      <w:pPr>
        <w:ind w:left="907" w:hanging="340"/>
      </w:pPr>
      <w:rPr>
        <w:rFonts w:hint="default"/>
        <w:b/>
        <w:bCs/>
      </w:rPr>
    </w:lvl>
    <w:lvl w:ilvl="2">
      <w:start w:val="1"/>
      <w:numFmt w:val="lowerRoman"/>
      <w:lvlText w:val="%3."/>
      <w:lvlJc w:val="right"/>
      <w:pPr>
        <w:tabs>
          <w:tab w:val="num" w:pos="1304"/>
        </w:tabs>
        <w:ind w:left="1304" w:hanging="57"/>
      </w:pPr>
      <w:rPr>
        <w:rFonts w:hint="default"/>
      </w:rPr>
    </w:lvl>
    <w:lvl w:ilvl="3">
      <w:start w:val="1"/>
      <w:numFmt w:val="decimal"/>
      <w:lvlText w:val="%4."/>
      <w:lvlJc w:val="left"/>
      <w:pPr>
        <w:ind w:left="1758" w:hanging="454"/>
      </w:pPr>
      <w:rPr>
        <w:rFonts w:hint="default"/>
      </w:rPr>
    </w:lvl>
    <w:lvl w:ilvl="4">
      <w:start w:val="1"/>
      <w:numFmt w:val="lowerLetter"/>
      <w:lvlText w:val="%5."/>
      <w:lvlJc w:val="left"/>
      <w:pPr>
        <w:ind w:left="2211" w:hanging="453"/>
      </w:pPr>
      <w:rPr>
        <w:rFonts w:hint="default"/>
      </w:rPr>
    </w:lvl>
    <w:lvl w:ilvl="5">
      <w:start w:val="1"/>
      <w:numFmt w:val="lowerRoman"/>
      <w:lvlText w:val="%6."/>
      <w:lvlJc w:val="right"/>
      <w:pPr>
        <w:ind w:left="2665" w:hanging="170"/>
      </w:pPr>
      <w:rPr>
        <w:rFonts w:hint="default"/>
      </w:rPr>
    </w:lvl>
    <w:lvl w:ilvl="6">
      <w:start w:val="1"/>
      <w:numFmt w:val="decimal"/>
      <w:lvlText w:val="%7."/>
      <w:lvlJc w:val="left"/>
      <w:pPr>
        <w:ind w:left="3062" w:hanging="340"/>
      </w:pPr>
      <w:rPr>
        <w:rFonts w:hint="default"/>
      </w:rPr>
    </w:lvl>
    <w:lvl w:ilvl="7">
      <w:start w:val="1"/>
      <w:numFmt w:val="lowerLetter"/>
      <w:lvlText w:val="%8."/>
      <w:lvlJc w:val="left"/>
      <w:pPr>
        <w:ind w:left="3515" w:hanging="396"/>
      </w:pPr>
      <w:rPr>
        <w:rFonts w:hint="default"/>
      </w:rPr>
    </w:lvl>
    <w:lvl w:ilvl="8">
      <w:start w:val="1"/>
      <w:numFmt w:val="lowerRoman"/>
      <w:lvlText w:val="%9."/>
      <w:lvlJc w:val="left"/>
      <w:pPr>
        <w:ind w:left="3969" w:hanging="340"/>
      </w:pPr>
      <w:rPr>
        <w:rFonts w:hint="default"/>
      </w:rPr>
    </w:lvl>
  </w:abstractNum>
  <w:abstractNum w:abstractNumId="11" w15:restartNumberingAfterBreak="0">
    <w:nsid w:val="56BE7515"/>
    <w:multiLevelType w:val="hybridMultilevel"/>
    <w:tmpl w:val="B30EA486"/>
    <w:lvl w:ilvl="0" w:tplc="0BA28E4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D31705"/>
    <w:multiLevelType w:val="hybridMultilevel"/>
    <w:tmpl w:val="9EA250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3435D23"/>
    <w:multiLevelType w:val="multilevel"/>
    <w:tmpl w:val="DD04814C"/>
    <w:numStyleLink w:val="Wlasnepunktory"/>
  </w:abstractNum>
  <w:abstractNum w:abstractNumId="14" w15:restartNumberingAfterBreak="0">
    <w:nsid w:val="6F821662"/>
    <w:multiLevelType w:val="hybridMultilevel"/>
    <w:tmpl w:val="E95046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E7F226C"/>
    <w:multiLevelType w:val="multilevel"/>
    <w:tmpl w:val="A036BCF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F31475"/>
    <w:multiLevelType w:val="hybridMultilevel"/>
    <w:tmpl w:val="99388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8674846">
    <w:abstractNumId w:val="12"/>
  </w:num>
  <w:num w:numId="2" w16cid:durableId="718018702">
    <w:abstractNumId w:val="14"/>
  </w:num>
  <w:num w:numId="3" w16cid:durableId="66584594">
    <w:abstractNumId w:val="6"/>
  </w:num>
  <w:num w:numId="4" w16cid:durableId="439036077">
    <w:abstractNumId w:val="2"/>
  </w:num>
  <w:num w:numId="5" w16cid:durableId="1742634917">
    <w:abstractNumId w:val="1"/>
  </w:num>
  <w:num w:numId="6" w16cid:durableId="1695691620">
    <w:abstractNumId w:val="4"/>
  </w:num>
  <w:num w:numId="7" w16cid:durableId="1828784481">
    <w:abstractNumId w:val="16"/>
  </w:num>
  <w:num w:numId="8" w16cid:durableId="2000690694">
    <w:abstractNumId w:val="0"/>
  </w:num>
  <w:num w:numId="9" w16cid:durableId="453137427">
    <w:abstractNumId w:val="8"/>
  </w:num>
  <w:num w:numId="10" w16cid:durableId="379091586">
    <w:abstractNumId w:val="3"/>
  </w:num>
  <w:num w:numId="11" w16cid:durableId="1822965407">
    <w:abstractNumId w:val="11"/>
  </w:num>
  <w:num w:numId="12" w16cid:durableId="1391341021">
    <w:abstractNumId w:val="5"/>
  </w:num>
  <w:num w:numId="13" w16cid:durableId="612440066">
    <w:abstractNumId w:val="7"/>
  </w:num>
  <w:num w:numId="14" w16cid:durableId="1614243917">
    <w:abstractNumId w:val="13"/>
  </w:num>
  <w:num w:numId="15" w16cid:durableId="10692500">
    <w:abstractNumId w:val="9"/>
    <w:lvlOverride w:ilvl="0">
      <w:lvl w:ilvl="0">
        <w:start w:val="1"/>
        <w:numFmt w:val="upperRoman"/>
        <w:lvlText w:val="%1."/>
        <w:lvlJc w:val="left"/>
        <w:pPr>
          <w:ind w:left="340" w:hanging="340"/>
        </w:pPr>
        <w:rPr>
          <w:rFonts w:hint="default"/>
          <w:b/>
          <w:bCs/>
        </w:rPr>
      </w:lvl>
    </w:lvlOverride>
    <w:lvlOverride w:ilvl="1">
      <w:lvl w:ilvl="1">
        <w:start w:val="1"/>
        <w:numFmt w:val="lowerLetter"/>
        <w:lvlText w:val="%2."/>
        <w:lvlJc w:val="left"/>
        <w:pPr>
          <w:ind w:left="907" w:hanging="340"/>
        </w:pPr>
        <w:rPr>
          <w:rFonts w:hint="default"/>
          <w:b/>
          <w:bCs/>
        </w:rPr>
      </w:lvl>
    </w:lvlOverride>
    <w:lvlOverride w:ilvl="2">
      <w:lvl w:ilvl="2">
        <w:start w:val="1"/>
        <w:numFmt w:val="lowerRoman"/>
        <w:lvlText w:val="%3."/>
        <w:lvlJc w:val="right"/>
        <w:pPr>
          <w:tabs>
            <w:tab w:val="num" w:pos="1304"/>
          </w:tabs>
          <w:ind w:left="1304" w:hanging="57"/>
        </w:pPr>
        <w:rPr>
          <w:rFonts w:hint="default"/>
          <w:b/>
          <w:bCs/>
        </w:rPr>
      </w:lvl>
    </w:lvlOverride>
    <w:lvlOverride w:ilvl="3">
      <w:lvl w:ilvl="3">
        <w:start w:val="1"/>
        <w:numFmt w:val="decimal"/>
        <w:lvlText w:val="%4."/>
        <w:lvlJc w:val="left"/>
        <w:pPr>
          <w:ind w:left="1758" w:hanging="454"/>
        </w:pPr>
        <w:rPr>
          <w:rFonts w:hint="default"/>
          <w:b w:val="0"/>
          <w:bCs w:val="0"/>
        </w:rPr>
      </w:lvl>
    </w:lvlOverride>
  </w:num>
  <w:num w:numId="16" w16cid:durableId="1287078282">
    <w:abstractNumId w:val="15"/>
  </w:num>
  <w:num w:numId="17" w16cid:durableId="1023819179">
    <w:abstractNumId w:val="10"/>
  </w:num>
  <w:num w:numId="18" w16cid:durableId="901326718">
    <w:abstractNumId w:val="9"/>
    <w:lvlOverride w:ilvl="1">
      <w:lvl w:ilvl="1">
        <w:start w:val="1"/>
        <w:numFmt w:val="lowerLetter"/>
        <w:lvlText w:val="%2."/>
        <w:lvlJc w:val="left"/>
        <w:pPr>
          <w:ind w:left="907" w:hanging="340"/>
        </w:pPr>
        <w:rPr>
          <w:rFonts w:hint="default"/>
          <w:b/>
          <w:bCs/>
        </w:rPr>
      </w:lvl>
    </w:lvlOverride>
    <w:lvlOverride w:ilvl="2">
      <w:lvl w:ilvl="2">
        <w:start w:val="1"/>
        <w:numFmt w:val="lowerRoman"/>
        <w:lvlText w:val="%3."/>
        <w:lvlJc w:val="right"/>
        <w:pPr>
          <w:tabs>
            <w:tab w:val="num" w:pos="1304"/>
          </w:tabs>
          <w:ind w:left="1304" w:hanging="57"/>
        </w:pPr>
        <w:rPr>
          <w:rFonts w:hint="default"/>
          <w:b w:val="0"/>
          <w:bCs w:val="0"/>
        </w:rPr>
      </w:lvl>
    </w:lvlOverride>
    <w:lvlOverride w:ilvl="3">
      <w:lvl w:ilvl="3">
        <w:start w:val="1"/>
        <w:numFmt w:val="decimal"/>
        <w:lvlText w:val="%4."/>
        <w:lvlJc w:val="left"/>
        <w:pPr>
          <w:ind w:left="1758" w:hanging="454"/>
        </w:pPr>
        <w:rPr>
          <w:rFonts w:hint="default"/>
          <w:b w:val="0"/>
          <w:bCs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C67"/>
    <w:rsid w:val="0000338F"/>
    <w:rsid w:val="00003C0C"/>
    <w:rsid w:val="000144BC"/>
    <w:rsid w:val="00030684"/>
    <w:rsid w:val="00031305"/>
    <w:rsid w:val="00037D19"/>
    <w:rsid w:val="000458CD"/>
    <w:rsid w:val="000467D1"/>
    <w:rsid w:val="00051274"/>
    <w:rsid w:val="000570B4"/>
    <w:rsid w:val="0005769C"/>
    <w:rsid w:val="00061AB6"/>
    <w:rsid w:val="00062E9D"/>
    <w:rsid w:val="00063C31"/>
    <w:rsid w:val="0007042E"/>
    <w:rsid w:val="00070FD3"/>
    <w:rsid w:val="000727F7"/>
    <w:rsid w:val="00073446"/>
    <w:rsid w:val="00082460"/>
    <w:rsid w:val="0008277A"/>
    <w:rsid w:val="0009759D"/>
    <w:rsid w:val="0009781D"/>
    <w:rsid w:val="00097FFD"/>
    <w:rsid w:val="000A0BFC"/>
    <w:rsid w:val="000C0FE7"/>
    <w:rsid w:val="000C2AF4"/>
    <w:rsid w:val="000C2CA3"/>
    <w:rsid w:val="000D25BA"/>
    <w:rsid w:val="000E073D"/>
    <w:rsid w:val="000F43B7"/>
    <w:rsid w:val="000F48E4"/>
    <w:rsid w:val="000F7183"/>
    <w:rsid w:val="0010469F"/>
    <w:rsid w:val="00111ACB"/>
    <w:rsid w:val="00114039"/>
    <w:rsid w:val="001170CB"/>
    <w:rsid w:val="0012747A"/>
    <w:rsid w:val="00127556"/>
    <w:rsid w:val="00133266"/>
    <w:rsid w:val="0013343A"/>
    <w:rsid w:val="00134182"/>
    <w:rsid w:val="00135C49"/>
    <w:rsid w:val="001431EE"/>
    <w:rsid w:val="00144E4B"/>
    <w:rsid w:val="00147AFA"/>
    <w:rsid w:val="001542D3"/>
    <w:rsid w:val="001547C7"/>
    <w:rsid w:val="00154E81"/>
    <w:rsid w:val="0015536A"/>
    <w:rsid w:val="00161084"/>
    <w:rsid w:val="001703E9"/>
    <w:rsid w:val="00183609"/>
    <w:rsid w:val="001852F6"/>
    <w:rsid w:val="00185B7B"/>
    <w:rsid w:val="001872A3"/>
    <w:rsid w:val="00192715"/>
    <w:rsid w:val="00195D3D"/>
    <w:rsid w:val="00197434"/>
    <w:rsid w:val="001A032F"/>
    <w:rsid w:val="001A078C"/>
    <w:rsid w:val="001A32ED"/>
    <w:rsid w:val="001A7856"/>
    <w:rsid w:val="001B06FF"/>
    <w:rsid w:val="001B1F14"/>
    <w:rsid w:val="001B3FD8"/>
    <w:rsid w:val="001B6FBB"/>
    <w:rsid w:val="001C089B"/>
    <w:rsid w:val="001C1509"/>
    <w:rsid w:val="001C6D90"/>
    <w:rsid w:val="001C6F17"/>
    <w:rsid w:val="001E7DAC"/>
    <w:rsid w:val="001F3009"/>
    <w:rsid w:val="001F40E8"/>
    <w:rsid w:val="001F4BEE"/>
    <w:rsid w:val="001F5CAA"/>
    <w:rsid w:val="001F61D3"/>
    <w:rsid w:val="002002A1"/>
    <w:rsid w:val="00204A5F"/>
    <w:rsid w:val="00205BFA"/>
    <w:rsid w:val="00211FB2"/>
    <w:rsid w:val="00220678"/>
    <w:rsid w:val="00220806"/>
    <w:rsid w:val="00220F5B"/>
    <w:rsid w:val="002276BD"/>
    <w:rsid w:val="00231E2C"/>
    <w:rsid w:val="00235829"/>
    <w:rsid w:val="002505F5"/>
    <w:rsid w:val="0025165C"/>
    <w:rsid w:val="00251DE6"/>
    <w:rsid w:val="00252B97"/>
    <w:rsid w:val="0025751C"/>
    <w:rsid w:val="0026000B"/>
    <w:rsid w:val="00261D6D"/>
    <w:rsid w:val="00261E55"/>
    <w:rsid w:val="002703EE"/>
    <w:rsid w:val="00272383"/>
    <w:rsid w:val="0027777A"/>
    <w:rsid w:val="002866AD"/>
    <w:rsid w:val="002900FF"/>
    <w:rsid w:val="002906E4"/>
    <w:rsid w:val="00290F93"/>
    <w:rsid w:val="00291862"/>
    <w:rsid w:val="002945B3"/>
    <w:rsid w:val="00297AE4"/>
    <w:rsid w:val="002A1AF7"/>
    <w:rsid w:val="002B0D70"/>
    <w:rsid w:val="002C28BE"/>
    <w:rsid w:val="002C6803"/>
    <w:rsid w:val="002D0F2D"/>
    <w:rsid w:val="002D1CBA"/>
    <w:rsid w:val="002D78DF"/>
    <w:rsid w:val="002D7AB0"/>
    <w:rsid w:val="002F3C24"/>
    <w:rsid w:val="002F713F"/>
    <w:rsid w:val="002F7577"/>
    <w:rsid w:val="002F793E"/>
    <w:rsid w:val="003008DC"/>
    <w:rsid w:val="003076B9"/>
    <w:rsid w:val="00307FF9"/>
    <w:rsid w:val="003213FA"/>
    <w:rsid w:val="003236B7"/>
    <w:rsid w:val="003242B2"/>
    <w:rsid w:val="003250DC"/>
    <w:rsid w:val="00326653"/>
    <w:rsid w:val="00334587"/>
    <w:rsid w:val="003408BD"/>
    <w:rsid w:val="00343744"/>
    <w:rsid w:val="00343C73"/>
    <w:rsid w:val="0035145E"/>
    <w:rsid w:val="003525A7"/>
    <w:rsid w:val="00362C6C"/>
    <w:rsid w:val="00381AA4"/>
    <w:rsid w:val="00382591"/>
    <w:rsid w:val="00382ACD"/>
    <w:rsid w:val="003923A2"/>
    <w:rsid w:val="003952E3"/>
    <w:rsid w:val="00395958"/>
    <w:rsid w:val="003A489E"/>
    <w:rsid w:val="003A4920"/>
    <w:rsid w:val="003A5290"/>
    <w:rsid w:val="003B3CCA"/>
    <w:rsid w:val="003B6A24"/>
    <w:rsid w:val="003C2F05"/>
    <w:rsid w:val="003C4E81"/>
    <w:rsid w:val="003C6A3C"/>
    <w:rsid w:val="003D1AA0"/>
    <w:rsid w:val="003E5023"/>
    <w:rsid w:val="003F01FE"/>
    <w:rsid w:val="003F20FE"/>
    <w:rsid w:val="003F53C6"/>
    <w:rsid w:val="003F61F9"/>
    <w:rsid w:val="003F6C5F"/>
    <w:rsid w:val="004032D3"/>
    <w:rsid w:val="00404864"/>
    <w:rsid w:val="0040494D"/>
    <w:rsid w:val="00405E5D"/>
    <w:rsid w:val="00406775"/>
    <w:rsid w:val="00406F1C"/>
    <w:rsid w:val="004135A5"/>
    <w:rsid w:val="00415FE8"/>
    <w:rsid w:val="00416E10"/>
    <w:rsid w:val="004171E2"/>
    <w:rsid w:val="00433E7A"/>
    <w:rsid w:val="00436E32"/>
    <w:rsid w:val="004379D0"/>
    <w:rsid w:val="00440C31"/>
    <w:rsid w:val="00442240"/>
    <w:rsid w:val="0045460A"/>
    <w:rsid w:val="004613C8"/>
    <w:rsid w:val="0046355F"/>
    <w:rsid w:val="00465FF2"/>
    <w:rsid w:val="0047064A"/>
    <w:rsid w:val="0047157F"/>
    <w:rsid w:val="00471812"/>
    <w:rsid w:val="004A0017"/>
    <w:rsid w:val="004A507D"/>
    <w:rsid w:val="004B13CA"/>
    <w:rsid w:val="004B2B14"/>
    <w:rsid w:val="004C11FC"/>
    <w:rsid w:val="004C1F3B"/>
    <w:rsid w:val="004C2491"/>
    <w:rsid w:val="004C2A5D"/>
    <w:rsid w:val="004C3497"/>
    <w:rsid w:val="004C3BEA"/>
    <w:rsid w:val="004D3568"/>
    <w:rsid w:val="004D5EFE"/>
    <w:rsid w:val="004E2C37"/>
    <w:rsid w:val="004E51CE"/>
    <w:rsid w:val="004F438B"/>
    <w:rsid w:val="005017BF"/>
    <w:rsid w:val="00505B90"/>
    <w:rsid w:val="00506E08"/>
    <w:rsid w:val="00510D2F"/>
    <w:rsid w:val="00520573"/>
    <w:rsid w:val="00522EBA"/>
    <w:rsid w:val="00540C00"/>
    <w:rsid w:val="00544A40"/>
    <w:rsid w:val="00547B86"/>
    <w:rsid w:val="005517F1"/>
    <w:rsid w:val="005541A7"/>
    <w:rsid w:val="00554206"/>
    <w:rsid w:val="00563B5D"/>
    <w:rsid w:val="00570EC2"/>
    <w:rsid w:val="00572E5A"/>
    <w:rsid w:val="00574D6D"/>
    <w:rsid w:val="0058100B"/>
    <w:rsid w:val="00581A9A"/>
    <w:rsid w:val="005856AE"/>
    <w:rsid w:val="00593271"/>
    <w:rsid w:val="005B26BA"/>
    <w:rsid w:val="005B50DB"/>
    <w:rsid w:val="005B7563"/>
    <w:rsid w:val="005C1EAD"/>
    <w:rsid w:val="005C3041"/>
    <w:rsid w:val="005C5048"/>
    <w:rsid w:val="005D3D1D"/>
    <w:rsid w:val="005E20DF"/>
    <w:rsid w:val="005E2BA1"/>
    <w:rsid w:val="005E4629"/>
    <w:rsid w:val="005F176D"/>
    <w:rsid w:val="005F3330"/>
    <w:rsid w:val="005F5D0A"/>
    <w:rsid w:val="00601170"/>
    <w:rsid w:val="0060637B"/>
    <w:rsid w:val="00611C57"/>
    <w:rsid w:val="006203EC"/>
    <w:rsid w:val="006240A2"/>
    <w:rsid w:val="00630346"/>
    <w:rsid w:val="00630795"/>
    <w:rsid w:val="00631115"/>
    <w:rsid w:val="006352FF"/>
    <w:rsid w:val="006461DF"/>
    <w:rsid w:val="00655C15"/>
    <w:rsid w:val="00661A8D"/>
    <w:rsid w:val="0067620C"/>
    <w:rsid w:val="00683973"/>
    <w:rsid w:val="006869FE"/>
    <w:rsid w:val="00687B33"/>
    <w:rsid w:val="006900D2"/>
    <w:rsid w:val="006A0825"/>
    <w:rsid w:val="006A5A30"/>
    <w:rsid w:val="006B0450"/>
    <w:rsid w:val="006B2347"/>
    <w:rsid w:val="006D1900"/>
    <w:rsid w:val="006D193B"/>
    <w:rsid w:val="006D7C7A"/>
    <w:rsid w:val="006E53D2"/>
    <w:rsid w:val="006F059C"/>
    <w:rsid w:val="006F1DE6"/>
    <w:rsid w:val="006F3C30"/>
    <w:rsid w:val="007022D1"/>
    <w:rsid w:val="007039AC"/>
    <w:rsid w:val="00707DB0"/>
    <w:rsid w:val="0071084D"/>
    <w:rsid w:val="00711776"/>
    <w:rsid w:val="00712A38"/>
    <w:rsid w:val="007146A9"/>
    <w:rsid w:val="007204E5"/>
    <w:rsid w:val="0073574C"/>
    <w:rsid w:val="00735F50"/>
    <w:rsid w:val="00736BF7"/>
    <w:rsid w:val="00736C76"/>
    <w:rsid w:val="0073725D"/>
    <w:rsid w:val="007416F3"/>
    <w:rsid w:val="00741729"/>
    <w:rsid w:val="0074174E"/>
    <w:rsid w:val="00746BED"/>
    <w:rsid w:val="00746D96"/>
    <w:rsid w:val="007513E7"/>
    <w:rsid w:val="0075321E"/>
    <w:rsid w:val="00756CCA"/>
    <w:rsid w:val="007572C6"/>
    <w:rsid w:val="0076220A"/>
    <w:rsid w:val="0077456C"/>
    <w:rsid w:val="00776FEB"/>
    <w:rsid w:val="00777BFA"/>
    <w:rsid w:val="00780FEF"/>
    <w:rsid w:val="007A2BC5"/>
    <w:rsid w:val="007A4E89"/>
    <w:rsid w:val="007A5B40"/>
    <w:rsid w:val="007A7FAE"/>
    <w:rsid w:val="007B29FF"/>
    <w:rsid w:val="007B69D9"/>
    <w:rsid w:val="007C0C9A"/>
    <w:rsid w:val="007C18D6"/>
    <w:rsid w:val="007C33B2"/>
    <w:rsid w:val="007C3E18"/>
    <w:rsid w:val="007C756C"/>
    <w:rsid w:val="007D0E3F"/>
    <w:rsid w:val="007D34FD"/>
    <w:rsid w:val="007D3C1D"/>
    <w:rsid w:val="007D4A32"/>
    <w:rsid w:val="007D5AE0"/>
    <w:rsid w:val="007D5BF5"/>
    <w:rsid w:val="007E3079"/>
    <w:rsid w:val="007E4725"/>
    <w:rsid w:val="007F1C6A"/>
    <w:rsid w:val="007F2F1E"/>
    <w:rsid w:val="007F3846"/>
    <w:rsid w:val="00802080"/>
    <w:rsid w:val="00813A8F"/>
    <w:rsid w:val="008165FE"/>
    <w:rsid w:val="00820B94"/>
    <w:rsid w:val="00823806"/>
    <w:rsid w:val="00824B81"/>
    <w:rsid w:val="00826CF8"/>
    <w:rsid w:val="008377C6"/>
    <w:rsid w:val="008409D2"/>
    <w:rsid w:val="008453C5"/>
    <w:rsid w:val="00846488"/>
    <w:rsid w:val="00847880"/>
    <w:rsid w:val="00861C67"/>
    <w:rsid w:val="00872286"/>
    <w:rsid w:val="00874948"/>
    <w:rsid w:val="008802E8"/>
    <w:rsid w:val="0088240C"/>
    <w:rsid w:val="008862E8"/>
    <w:rsid w:val="008A1A1C"/>
    <w:rsid w:val="008A5C63"/>
    <w:rsid w:val="008A6949"/>
    <w:rsid w:val="008B50B8"/>
    <w:rsid w:val="008B644D"/>
    <w:rsid w:val="008C317C"/>
    <w:rsid w:val="008C404E"/>
    <w:rsid w:val="008C4F2E"/>
    <w:rsid w:val="008C6061"/>
    <w:rsid w:val="008C6C8F"/>
    <w:rsid w:val="008D2737"/>
    <w:rsid w:val="008D2C2C"/>
    <w:rsid w:val="008D2CD9"/>
    <w:rsid w:val="008D465F"/>
    <w:rsid w:val="008D5DBB"/>
    <w:rsid w:val="008F1255"/>
    <w:rsid w:val="008F798F"/>
    <w:rsid w:val="009022DA"/>
    <w:rsid w:val="00912CDB"/>
    <w:rsid w:val="00916476"/>
    <w:rsid w:val="009206AF"/>
    <w:rsid w:val="00927D84"/>
    <w:rsid w:val="00945935"/>
    <w:rsid w:val="00950246"/>
    <w:rsid w:val="00950B97"/>
    <w:rsid w:val="00952038"/>
    <w:rsid w:val="00954A28"/>
    <w:rsid w:val="00956634"/>
    <w:rsid w:val="00957E37"/>
    <w:rsid w:val="009627DF"/>
    <w:rsid w:val="0096786F"/>
    <w:rsid w:val="00972470"/>
    <w:rsid w:val="009744B8"/>
    <w:rsid w:val="00976074"/>
    <w:rsid w:val="009769FE"/>
    <w:rsid w:val="00980634"/>
    <w:rsid w:val="00981DA6"/>
    <w:rsid w:val="00984259"/>
    <w:rsid w:val="00986FF2"/>
    <w:rsid w:val="00992FD9"/>
    <w:rsid w:val="00995A7A"/>
    <w:rsid w:val="00997925"/>
    <w:rsid w:val="009A1602"/>
    <w:rsid w:val="009B2778"/>
    <w:rsid w:val="009B34B1"/>
    <w:rsid w:val="009B4205"/>
    <w:rsid w:val="009B52F4"/>
    <w:rsid w:val="009C05A3"/>
    <w:rsid w:val="009C3055"/>
    <w:rsid w:val="009C3D3B"/>
    <w:rsid w:val="009C5109"/>
    <w:rsid w:val="009C7782"/>
    <w:rsid w:val="009D396D"/>
    <w:rsid w:val="009D6028"/>
    <w:rsid w:val="009F79E5"/>
    <w:rsid w:val="00A05E8E"/>
    <w:rsid w:val="00A07216"/>
    <w:rsid w:val="00A07592"/>
    <w:rsid w:val="00A1177B"/>
    <w:rsid w:val="00A233C6"/>
    <w:rsid w:val="00A24ABD"/>
    <w:rsid w:val="00A25775"/>
    <w:rsid w:val="00A30747"/>
    <w:rsid w:val="00A322C0"/>
    <w:rsid w:val="00A4112E"/>
    <w:rsid w:val="00A43217"/>
    <w:rsid w:val="00A43D41"/>
    <w:rsid w:val="00A44C90"/>
    <w:rsid w:val="00A5017E"/>
    <w:rsid w:val="00A57C2B"/>
    <w:rsid w:val="00A73A6C"/>
    <w:rsid w:val="00A763F8"/>
    <w:rsid w:val="00A76FF1"/>
    <w:rsid w:val="00A77315"/>
    <w:rsid w:val="00A83DB5"/>
    <w:rsid w:val="00A83F94"/>
    <w:rsid w:val="00A8632C"/>
    <w:rsid w:val="00A92306"/>
    <w:rsid w:val="00A92AD1"/>
    <w:rsid w:val="00A93051"/>
    <w:rsid w:val="00A95A50"/>
    <w:rsid w:val="00A97C7B"/>
    <w:rsid w:val="00AA01D0"/>
    <w:rsid w:val="00AA098A"/>
    <w:rsid w:val="00AB140B"/>
    <w:rsid w:val="00AB2092"/>
    <w:rsid w:val="00AB4C15"/>
    <w:rsid w:val="00AB576D"/>
    <w:rsid w:val="00AB5E1A"/>
    <w:rsid w:val="00AB6E7A"/>
    <w:rsid w:val="00AB7C79"/>
    <w:rsid w:val="00AC37B7"/>
    <w:rsid w:val="00AC56D4"/>
    <w:rsid w:val="00AC6D05"/>
    <w:rsid w:val="00AD1ABC"/>
    <w:rsid w:val="00AD36A9"/>
    <w:rsid w:val="00AD44BA"/>
    <w:rsid w:val="00AD717B"/>
    <w:rsid w:val="00AD788B"/>
    <w:rsid w:val="00AE2E33"/>
    <w:rsid w:val="00AE49FA"/>
    <w:rsid w:val="00AF1561"/>
    <w:rsid w:val="00AF2461"/>
    <w:rsid w:val="00AF25F4"/>
    <w:rsid w:val="00B04C2E"/>
    <w:rsid w:val="00B11613"/>
    <w:rsid w:val="00B15A68"/>
    <w:rsid w:val="00B17127"/>
    <w:rsid w:val="00B209B2"/>
    <w:rsid w:val="00B2173A"/>
    <w:rsid w:val="00B253A4"/>
    <w:rsid w:val="00B31C64"/>
    <w:rsid w:val="00B33C2E"/>
    <w:rsid w:val="00B34926"/>
    <w:rsid w:val="00B34FC5"/>
    <w:rsid w:val="00B37A30"/>
    <w:rsid w:val="00B40D96"/>
    <w:rsid w:val="00B55BEE"/>
    <w:rsid w:val="00B56CD3"/>
    <w:rsid w:val="00B6023A"/>
    <w:rsid w:val="00B62344"/>
    <w:rsid w:val="00B64CA2"/>
    <w:rsid w:val="00B734B8"/>
    <w:rsid w:val="00B735F6"/>
    <w:rsid w:val="00B745D7"/>
    <w:rsid w:val="00B76D9C"/>
    <w:rsid w:val="00B86694"/>
    <w:rsid w:val="00B9364A"/>
    <w:rsid w:val="00B956EC"/>
    <w:rsid w:val="00B959E2"/>
    <w:rsid w:val="00BB21BE"/>
    <w:rsid w:val="00BB388F"/>
    <w:rsid w:val="00BB5038"/>
    <w:rsid w:val="00BC44EC"/>
    <w:rsid w:val="00BC6EE2"/>
    <w:rsid w:val="00BD0368"/>
    <w:rsid w:val="00BD4F9C"/>
    <w:rsid w:val="00BE2CD7"/>
    <w:rsid w:val="00BE4635"/>
    <w:rsid w:val="00BE69B4"/>
    <w:rsid w:val="00BF3850"/>
    <w:rsid w:val="00C04513"/>
    <w:rsid w:val="00C06964"/>
    <w:rsid w:val="00C1075F"/>
    <w:rsid w:val="00C160D3"/>
    <w:rsid w:val="00C236C7"/>
    <w:rsid w:val="00C26481"/>
    <w:rsid w:val="00C30129"/>
    <w:rsid w:val="00C33617"/>
    <w:rsid w:val="00C371F1"/>
    <w:rsid w:val="00C41713"/>
    <w:rsid w:val="00C42C84"/>
    <w:rsid w:val="00C43DFE"/>
    <w:rsid w:val="00C5179C"/>
    <w:rsid w:val="00C517DA"/>
    <w:rsid w:val="00C51EA7"/>
    <w:rsid w:val="00C566EA"/>
    <w:rsid w:val="00C67219"/>
    <w:rsid w:val="00C70B62"/>
    <w:rsid w:val="00C70C7A"/>
    <w:rsid w:val="00C80B7D"/>
    <w:rsid w:val="00C80D09"/>
    <w:rsid w:val="00C8204A"/>
    <w:rsid w:val="00C8707E"/>
    <w:rsid w:val="00CA211F"/>
    <w:rsid w:val="00CA73C7"/>
    <w:rsid w:val="00CB0ADF"/>
    <w:rsid w:val="00CB13AF"/>
    <w:rsid w:val="00CC7C58"/>
    <w:rsid w:val="00CE0ECE"/>
    <w:rsid w:val="00CE1D88"/>
    <w:rsid w:val="00D02724"/>
    <w:rsid w:val="00D0291C"/>
    <w:rsid w:val="00D05EEF"/>
    <w:rsid w:val="00D1556C"/>
    <w:rsid w:val="00D1639B"/>
    <w:rsid w:val="00D26151"/>
    <w:rsid w:val="00D366E7"/>
    <w:rsid w:val="00D379A3"/>
    <w:rsid w:val="00D37E49"/>
    <w:rsid w:val="00D41F82"/>
    <w:rsid w:val="00D55991"/>
    <w:rsid w:val="00D61F2D"/>
    <w:rsid w:val="00D620B8"/>
    <w:rsid w:val="00D71D15"/>
    <w:rsid w:val="00D72692"/>
    <w:rsid w:val="00D77476"/>
    <w:rsid w:val="00D8507B"/>
    <w:rsid w:val="00D9389C"/>
    <w:rsid w:val="00DA467B"/>
    <w:rsid w:val="00DB50B0"/>
    <w:rsid w:val="00DB5BCB"/>
    <w:rsid w:val="00DB70A1"/>
    <w:rsid w:val="00DC4511"/>
    <w:rsid w:val="00DD3C1B"/>
    <w:rsid w:val="00DE24F5"/>
    <w:rsid w:val="00DE2E15"/>
    <w:rsid w:val="00DF3C34"/>
    <w:rsid w:val="00DF4DC6"/>
    <w:rsid w:val="00E05201"/>
    <w:rsid w:val="00E05BE6"/>
    <w:rsid w:val="00E140FF"/>
    <w:rsid w:val="00E147AA"/>
    <w:rsid w:val="00E14808"/>
    <w:rsid w:val="00E16124"/>
    <w:rsid w:val="00E366B0"/>
    <w:rsid w:val="00E41DA0"/>
    <w:rsid w:val="00E44513"/>
    <w:rsid w:val="00E50AF5"/>
    <w:rsid w:val="00E50C69"/>
    <w:rsid w:val="00E61EDC"/>
    <w:rsid w:val="00E63676"/>
    <w:rsid w:val="00E660B0"/>
    <w:rsid w:val="00E74117"/>
    <w:rsid w:val="00E80F73"/>
    <w:rsid w:val="00E93DDE"/>
    <w:rsid w:val="00EA584B"/>
    <w:rsid w:val="00EA6373"/>
    <w:rsid w:val="00EB0CF0"/>
    <w:rsid w:val="00EB140A"/>
    <w:rsid w:val="00EB3F28"/>
    <w:rsid w:val="00EC0990"/>
    <w:rsid w:val="00EC2A0E"/>
    <w:rsid w:val="00EC6829"/>
    <w:rsid w:val="00ED0942"/>
    <w:rsid w:val="00ED5A17"/>
    <w:rsid w:val="00ED608F"/>
    <w:rsid w:val="00EE17EF"/>
    <w:rsid w:val="00EE3722"/>
    <w:rsid w:val="00F03C80"/>
    <w:rsid w:val="00F04FDA"/>
    <w:rsid w:val="00F0567F"/>
    <w:rsid w:val="00F05DF0"/>
    <w:rsid w:val="00F24343"/>
    <w:rsid w:val="00F41DE9"/>
    <w:rsid w:val="00F4222B"/>
    <w:rsid w:val="00F43DB5"/>
    <w:rsid w:val="00F50AF0"/>
    <w:rsid w:val="00F53DE5"/>
    <w:rsid w:val="00F70A22"/>
    <w:rsid w:val="00F717E1"/>
    <w:rsid w:val="00F72B2B"/>
    <w:rsid w:val="00F74249"/>
    <w:rsid w:val="00F77F82"/>
    <w:rsid w:val="00F80B18"/>
    <w:rsid w:val="00F811A8"/>
    <w:rsid w:val="00F856A3"/>
    <w:rsid w:val="00F90BDF"/>
    <w:rsid w:val="00F968C2"/>
    <w:rsid w:val="00F970F6"/>
    <w:rsid w:val="00FB4CA0"/>
    <w:rsid w:val="00FC5544"/>
    <w:rsid w:val="00FE657D"/>
    <w:rsid w:val="00FF0F69"/>
    <w:rsid w:val="00FF5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CFD86"/>
  <w15:docId w15:val="{F2508839-9242-4078-B7FC-7F26C0F9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780FEF"/>
    <w:pPr>
      <w:keepNext/>
      <w:keepLines/>
      <w:spacing w:before="40" w:after="0"/>
      <w:outlineLvl w:val="1"/>
    </w:pPr>
    <w:rPr>
      <w:rFonts w:ascii="Calibri Light" w:eastAsia="Times New Roman" w:hAnsi="Calibri Light" w:cs="Times New Roman"/>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3C31"/>
    <w:rPr>
      <w:color w:val="0000FF" w:themeColor="hyperlink"/>
      <w:u w:val="single"/>
    </w:rPr>
  </w:style>
  <w:style w:type="paragraph" w:styleId="Akapitzlist">
    <w:name w:val="List Paragraph"/>
    <w:basedOn w:val="Normalny"/>
    <w:uiPriority w:val="34"/>
    <w:qFormat/>
    <w:rsid w:val="00063C31"/>
    <w:pPr>
      <w:ind w:left="720"/>
      <w:contextualSpacing/>
    </w:pPr>
  </w:style>
  <w:style w:type="paragraph" w:styleId="Tekstprzypisukocowego">
    <w:name w:val="endnote text"/>
    <w:basedOn w:val="Normalny"/>
    <w:link w:val="TekstprzypisukocowegoZnak"/>
    <w:uiPriority w:val="99"/>
    <w:semiHidden/>
    <w:unhideWhenUsed/>
    <w:rsid w:val="001334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3343A"/>
    <w:rPr>
      <w:sz w:val="20"/>
      <w:szCs w:val="20"/>
    </w:rPr>
  </w:style>
  <w:style w:type="character" w:styleId="Odwoanieprzypisukocowego">
    <w:name w:val="endnote reference"/>
    <w:basedOn w:val="Domylnaczcionkaakapitu"/>
    <w:uiPriority w:val="99"/>
    <w:semiHidden/>
    <w:unhideWhenUsed/>
    <w:rsid w:val="0013343A"/>
    <w:rPr>
      <w:vertAlign w:val="superscript"/>
    </w:rPr>
  </w:style>
  <w:style w:type="character" w:styleId="UyteHipercze">
    <w:name w:val="FollowedHyperlink"/>
    <w:basedOn w:val="Domylnaczcionkaakapitu"/>
    <w:uiPriority w:val="99"/>
    <w:semiHidden/>
    <w:unhideWhenUsed/>
    <w:rsid w:val="00297AE4"/>
    <w:rPr>
      <w:color w:val="800080" w:themeColor="followedHyperlink"/>
      <w:u w:val="single"/>
    </w:rPr>
  </w:style>
  <w:style w:type="character" w:customStyle="1" w:styleId="Nierozpoznanawzmianka1">
    <w:name w:val="Nierozpoznana wzmianka1"/>
    <w:basedOn w:val="Domylnaczcionkaakapitu"/>
    <w:uiPriority w:val="99"/>
    <w:semiHidden/>
    <w:unhideWhenUsed/>
    <w:rsid w:val="001A032F"/>
    <w:rPr>
      <w:color w:val="605E5C"/>
      <w:shd w:val="clear" w:color="auto" w:fill="E1DFDD"/>
    </w:rPr>
  </w:style>
  <w:style w:type="paragraph" w:styleId="Tekstprzypisudolnego">
    <w:name w:val="footnote text"/>
    <w:basedOn w:val="Normalny"/>
    <w:link w:val="TekstprzypisudolnegoZnak"/>
    <w:uiPriority w:val="99"/>
    <w:semiHidden/>
    <w:unhideWhenUsed/>
    <w:rsid w:val="004E51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51CE"/>
    <w:rPr>
      <w:sz w:val="20"/>
      <w:szCs w:val="20"/>
    </w:rPr>
  </w:style>
  <w:style w:type="character" w:styleId="Odwoanieprzypisudolnego">
    <w:name w:val="footnote reference"/>
    <w:basedOn w:val="Domylnaczcionkaakapitu"/>
    <w:uiPriority w:val="99"/>
    <w:semiHidden/>
    <w:unhideWhenUsed/>
    <w:rsid w:val="004E51CE"/>
    <w:rPr>
      <w:vertAlign w:val="superscript"/>
    </w:rPr>
  </w:style>
  <w:style w:type="paragraph" w:styleId="Nagwek">
    <w:name w:val="header"/>
    <w:basedOn w:val="Normalny"/>
    <w:link w:val="NagwekZnak"/>
    <w:uiPriority w:val="99"/>
    <w:unhideWhenUsed/>
    <w:rsid w:val="003236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36B7"/>
  </w:style>
  <w:style w:type="paragraph" w:styleId="Stopka">
    <w:name w:val="footer"/>
    <w:basedOn w:val="Normalny"/>
    <w:link w:val="StopkaZnak"/>
    <w:uiPriority w:val="99"/>
    <w:unhideWhenUsed/>
    <w:rsid w:val="003236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36B7"/>
  </w:style>
  <w:style w:type="paragraph" w:customStyle="1" w:styleId="Nagwek21">
    <w:name w:val="Nagłówek 21"/>
    <w:basedOn w:val="Normalny"/>
    <w:next w:val="Normalny"/>
    <w:uiPriority w:val="9"/>
    <w:unhideWhenUsed/>
    <w:qFormat/>
    <w:rsid w:val="00780FEF"/>
    <w:pPr>
      <w:keepNext/>
      <w:keepLines/>
      <w:spacing w:before="160" w:after="80" w:line="259" w:lineRule="auto"/>
      <w:outlineLvl w:val="1"/>
    </w:pPr>
    <w:rPr>
      <w:rFonts w:ascii="Calibri Light" w:eastAsia="Times New Roman" w:hAnsi="Calibri Light" w:cs="Times New Roman"/>
      <w:color w:val="2F5496"/>
      <w:kern w:val="2"/>
      <w:sz w:val="32"/>
      <w:szCs w:val="32"/>
      <w14:ligatures w14:val="standardContextual"/>
    </w:rPr>
  </w:style>
  <w:style w:type="numbering" w:customStyle="1" w:styleId="Bezlisty1">
    <w:name w:val="Bez listy1"/>
    <w:next w:val="Bezlisty"/>
    <w:uiPriority w:val="99"/>
    <w:semiHidden/>
    <w:unhideWhenUsed/>
    <w:rsid w:val="00780FEF"/>
  </w:style>
  <w:style w:type="numbering" w:customStyle="1" w:styleId="Wlasnepunktory">
    <w:name w:val="Wlasne punktory"/>
    <w:uiPriority w:val="99"/>
    <w:rsid w:val="00780FEF"/>
    <w:pPr>
      <w:numPr>
        <w:numId w:val="13"/>
      </w:numPr>
    </w:pPr>
  </w:style>
  <w:style w:type="character" w:customStyle="1" w:styleId="Nagwek2Znak">
    <w:name w:val="Nagłówek 2 Znak"/>
    <w:basedOn w:val="Domylnaczcionkaakapitu"/>
    <w:link w:val="Nagwek2"/>
    <w:uiPriority w:val="9"/>
    <w:rsid w:val="00780FEF"/>
    <w:rPr>
      <w:rFonts w:ascii="Calibri Light" w:eastAsia="Times New Roman" w:hAnsi="Calibri Light" w:cs="Times New Roman"/>
      <w:color w:val="2F5496"/>
      <w:sz w:val="32"/>
      <w:szCs w:val="32"/>
    </w:rPr>
  </w:style>
  <w:style w:type="paragraph" w:styleId="Bezodstpw">
    <w:name w:val="No Spacing"/>
    <w:uiPriority w:val="1"/>
    <w:qFormat/>
    <w:rsid w:val="00780FEF"/>
    <w:pPr>
      <w:spacing w:after="0" w:line="240" w:lineRule="auto"/>
    </w:pPr>
    <w:rPr>
      <w:kern w:val="2"/>
      <w14:ligatures w14:val="standardContextual"/>
    </w:rPr>
  </w:style>
  <w:style w:type="character" w:customStyle="1" w:styleId="Nagwek2Znak1">
    <w:name w:val="Nagłówek 2 Znak1"/>
    <w:basedOn w:val="Domylnaczcionkaakapitu"/>
    <w:uiPriority w:val="9"/>
    <w:semiHidden/>
    <w:rsid w:val="00780FEF"/>
    <w:rPr>
      <w:rFonts w:asciiTheme="majorHAnsi" w:eastAsiaTheme="majorEastAsia" w:hAnsiTheme="majorHAnsi" w:cstheme="majorBidi"/>
      <w:color w:val="365F91" w:themeColor="accent1" w:themeShade="BF"/>
      <w:sz w:val="26"/>
      <w:szCs w:val="26"/>
    </w:rPr>
  </w:style>
  <w:style w:type="numbering" w:customStyle="1" w:styleId="Wlasnepunktory1">
    <w:name w:val="Wlasne punktory1"/>
    <w:uiPriority w:val="99"/>
    <w:rsid w:val="00753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165538">
      <w:bodyDiv w:val="1"/>
      <w:marLeft w:val="0"/>
      <w:marRight w:val="0"/>
      <w:marTop w:val="0"/>
      <w:marBottom w:val="0"/>
      <w:divBdr>
        <w:top w:val="none" w:sz="0" w:space="0" w:color="auto"/>
        <w:left w:val="none" w:sz="0" w:space="0" w:color="auto"/>
        <w:bottom w:val="none" w:sz="0" w:space="0" w:color="auto"/>
        <w:right w:val="none" w:sz="0" w:space="0" w:color="auto"/>
      </w:divBdr>
    </w:div>
    <w:div w:id="203183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pubenchmark.net/cpu_list.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3595</TotalTime>
  <Pages>21</Pages>
  <Words>5999</Words>
  <Characters>35994</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Trofimczuk</dc:creator>
  <cp:keywords/>
  <dc:description/>
  <cp:lastModifiedBy>Sabina Żydek</cp:lastModifiedBy>
  <cp:revision>520</cp:revision>
  <dcterms:created xsi:type="dcterms:W3CDTF">2022-12-06T13:47:00Z</dcterms:created>
  <dcterms:modified xsi:type="dcterms:W3CDTF">2026-03-18T11:26:00Z</dcterms:modified>
</cp:coreProperties>
</file>